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jc w:val="center"/>
        <w:rPr>
          <w:sz w:val="44"/>
          <w:szCs w:val="44"/>
        </w:rPr>
      </w:pPr>
      <w:r>
        <w:rPr>
          <w:rFonts w:hint="eastAsia"/>
          <w:sz w:val="44"/>
          <w:szCs w:val="44"/>
        </w:rPr>
        <w:t>内蒙古自治区会计师事务所</w:t>
      </w:r>
    </w:p>
    <w:p>
      <w:pPr>
        <w:jc w:val="center"/>
        <w:rPr>
          <w:sz w:val="44"/>
          <w:szCs w:val="44"/>
        </w:rPr>
      </w:pPr>
      <w:r>
        <w:rPr>
          <w:rFonts w:hint="eastAsia"/>
          <w:sz w:val="44"/>
          <w:szCs w:val="44"/>
        </w:rPr>
        <w:t>资产评估机构投标管理办法</w:t>
      </w:r>
    </w:p>
    <w:p>
      <w:pPr>
        <w:jc w:val="center"/>
        <w:rPr>
          <w:rFonts w:hint="eastAsia" w:eastAsiaTheme="minorEastAsia"/>
          <w:sz w:val="32"/>
          <w:szCs w:val="32"/>
          <w:lang w:eastAsia="zh-CN"/>
        </w:rPr>
      </w:pPr>
      <w:r>
        <w:rPr>
          <w:rFonts w:hint="eastAsia"/>
          <w:sz w:val="32"/>
          <w:szCs w:val="32"/>
          <w:lang w:eastAsia="zh-CN"/>
        </w:rPr>
        <w:t>（</w:t>
      </w:r>
      <w:r>
        <w:rPr>
          <w:rFonts w:hint="eastAsia"/>
          <w:sz w:val="32"/>
          <w:szCs w:val="32"/>
        </w:rPr>
        <w:t>征求意见稿</w:t>
      </w:r>
      <w:r>
        <w:rPr>
          <w:rFonts w:hint="eastAsia"/>
          <w:sz w:val="32"/>
          <w:szCs w:val="32"/>
          <w:lang w:eastAsia="zh-CN"/>
        </w:rPr>
        <w:t>）</w:t>
      </w:r>
    </w:p>
    <w:p>
      <w:pPr>
        <w:ind w:firstLine="660"/>
        <w:jc w:val="center"/>
        <w:rPr>
          <w:rFonts w:ascii="黑体" w:hAnsi="黑体" w:eastAsia="黑体"/>
          <w:sz w:val="32"/>
          <w:szCs w:val="32"/>
        </w:rPr>
      </w:pPr>
    </w:p>
    <w:p>
      <w:pPr>
        <w:pStyle w:val="9"/>
        <w:numPr>
          <w:ilvl w:val="0"/>
          <w:numId w:val="1"/>
        </w:numPr>
        <w:ind w:firstLineChars="0"/>
        <w:jc w:val="center"/>
        <w:rPr>
          <w:rFonts w:ascii="黑体" w:hAnsi="黑体" w:eastAsia="黑体"/>
          <w:sz w:val="32"/>
          <w:szCs w:val="32"/>
        </w:rPr>
      </w:pPr>
      <w:r>
        <w:rPr>
          <w:rFonts w:hint="eastAsia" w:ascii="黑体" w:hAnsi="黑体" w:eastAsia="黑体"/>
          <w:sz w:val="32"/>
          <w:szCs w:val="32"/>
        </w:rPr>
        <w:t>总 则</w:t>
      </w:r>
    </w:p>
    <w:p>
      <w:pPr>
        <w:pStyle w:val="9"/>
        <w:ind w:left="1980" w:firstLine="0" w:firstLineChars="0"/>
        <w:rPr>
          <w:rFonts w:ascii="黑体" w:hAnsi="黑体" w:eastAsia="黑体"/>
          <w:sz w:val="32"/>
          <w:szCs w:val="32"/>
        </w:rPr>
      </w:pPr>
    </w:p>
    <w:p>
      <w:pPr>
        <w:ind w:firstLine="660"/>
        <w:rPr>
          <w:sz w:val="32"/>
          <w:szCs w:val="32"/>
        </w:rPr>
      </w:pPr>
      <w:r>
        <w:rPr>
          <w:rFonts w:hint="eastAsia" w:ascii="黑体" w:hAnsi="黑体" w:eastAsia="黑体"/>
          <w:sz w:val="32"/>
          <w:szCs w:val="32"/>
        </w:rPr>
        <w:t>第一条</w:t>
      </w:r>
      <w:r>
        <w:rPr>
          <w:rFonts w:hint="eastAsia"/>
          <w:sz w:val="32"/>
          <w:szCs w:val="32"/>
        </w:rPr>
        <w:t xml:space="preserve"> 为规范内蒙古自治区会计师事务所、资产评估机构以投标方式承接审计及评估项目的行为，加强内蒙古自治区注册会计师行业、资产评估行业执业质量监管，提高行业执业质量，提升行业诚信水平，促进行业持续健康发展，维护社会公众利益和招标人、投标</w:t>
      </w:r>
      <w:r>
        <w:rPr>
          <w:rFonts w:hint="eastAsia"/>
          <w:sz w:val="32"/>
          <w:szCs w:val="32"/>
          <w:lang w:eastAsia="zh-CN"/>
        </w:rPr>
        <w:t>会计师</w:t>
      </w:r>
      <w:r>
        <w:rPr>
          <w:rFonts w:hint="eastAsia"/>
          <w:sz w:val="32"/>
          <w:szCs w:val="32"/>
        </w:rPr>
        <w:t>事务所</w:t>
      </w:r>
      <w:r>
        <w:rPr>
          <w:rFonts w:hint="eastAsia"/>
          <w:sz w:val="32"/>
          <w:szCs w:val="32"/>
          <w:lang w:eastAsia="zh-CN"/>
        </w:rPr>
        <w:t>、资产</w:t>
      </w:r>
      <w:r>
        <w:rPr>
          <w:rFonts w:hint="eastAsia"/>
          <w:sz w:val="32"/>
          <w:szCs w:val="32"/>
        </w:rPr>
        <w:t>评估机构合法权益，根据《中华人民共和国注册会计师法》、《资产评估法》、《会计师事务所以投标方式承接审计业务指导意见》等有关规定，制定本办法。</w:t>
      </w:r>
    </w:p>
    <w:p>
      <w:pPr>
        <w:ind w:firstLine="660"/>
        <w:rPr>
          <w:sz w:val="32"/>
          <w:szCs w:val="32"/>
        </w:rPr>
      </w:pPr>
      <w:r>
        <w:rPr>
          <w:rFonts w:hint="eastAsia" w:ascii="黑体" w:hAnsi="黑体" w:eastAsia="黑体"/>
          <w:sz w:val="32"/>
          <w:szCs w:val="32"/>
        </w:rPr>
        <w:t xml:space="preserve">第二条 </w:t>
      </w:r>
      <w:r>
        <w:rPr>
          <w:rFonts w:hint="eastAsia"/>
          <w:sz w:val="32"/>
          <w:szCs w:val="32"/>
        </w:rPr>
        <w:t>会计师事务所、资产评估机构通过投标方式承接审计及评估项目，应当具备专业胜任能力，恪守独立、客观、公正的原则，遵守审计准则、资产评估准则和职业道德守则、准则，不得通过降低执业质量缓解投标带来的成本压力。</w:t>
      </w:r>
    </w:p>
    <w:p>
      <w:pPr>
        <w:ind w:firstLine="660"/>
        <w:jc w:val="center"/>
        <w:rPr>
          <w:rFonts w:ascii="黑体" w:hAnsi="黑体" w:eastAsia="黑体"/>
          <w:sz w:val="32"/>
          <w:szCs w:val="32"/>
        </w:rPr>
      </w:pPr>
    </w:p>
    <w:p>
      <w:pPr>
        <w:pStyle w:val="9"/>
        <w:numPr>
          <w:ilvl w:val="0"/>
          <w:numId w:val="1"/>
        </w:numPr>
        <w:ind w:firstLineChars="0"/>
        <w:jc w:val="center"/>
        <w:rPr>
          <w:rFonts w:ascii="黑体" w:hAnsi="黑体" w:eastAsia="黑体"/>
          <w:sz w:val="32"/>
          <w:szCs w:val="32"/>
        </w:rPr>
      </w:pPr>
      <w:r>
        <w:rPr>
          <w:rFonts w:hint="eastAsia" w:ascii="黑体" w:hAnsi="黑体" w:eastAsia="黑体"/>
          <w:sz w:val="32"/>
          <w:szCs w:val="32"/>
        </w:rPr>
        <w:t>投标报价</w:t>
      </w:r>
    </w:p>
    <w:p>
      <w:pPr>
        <w:ind w:firstLine="660"/>
        <w:rPr>
          <w:sz w:val="32"/>
          <w:szCs w:val="32"/>
        </w:rPr>
      </w:pPr>
      <w:r>
        <w:rPr>
          <w:rFonts w:hint="eastAsia" w:ascii="黑体" w:hAnsi="黑体" w:eastAsia="黑体"/>
          <w:sz w:val="32"/>
          <w:szCs w:val="32"/>
        </w:rPr>
        <w:t>第三条</w:t>
      </w:r>
      <w:r>
        <w:rPr>
          <w:rFonts w:hint="eastAsia"/>
          <w:sz w:val="32"/>
          <w:szCs w:val="32"/>
        </w:rPr>
        <w:t xml:space="preserve"> 会计师事务所、资产评估机构应当通过提供的专业服务价值确定投标报价，并确保独立性和执业质量不会受到损害。</w:t>
      </w:r>
    </w:p>
    <w:p>
      <w:pPr>
        <w:ind w:firstLine="660"/>
        <w:rPr>
          <w:sz w:val="32"/>
          <w:szCs w:val="32"/>
        </w:rPr>
      </w:pPr>
      <w:r>
        <w:rPr>
          <w:rFonts w:hint="eastAsia" w:ascii="黑体" w:hAnsi="黑体" w:eastAsia="黑体"/>
          <w:sz w:val="32"/>
          <w:szCs w:val="32"/>
        </w:rPr>
        <w:t>第四条</w:t>
      </w:r>
      <w:r>
        <w:rPr>
          <w:rFonts w:hint="eastAsia"/>
          <w:sz w:val="32"/>
          <w:szCs w:val="32"/>
        </w:rPr>
        <w:t xml:space="preserve"> 会计师事务所、资产评估机应当在充分考虑下列因素的基础上，合理确定审计、评估项目的专业服务价值：</w:t>
      </w:r>
    </w:p>
    <w:p>
      <w:pPr>
        <w:ind w:firstLine="660"/>
        <w:rPr>
          <w:sz w:val="32"/>
          <w:szCs w:val="32"/>
        </w:rPr>
      </w:pPr>
      <w:r>
        <w:rPr>
          <w:rFonts w:hint="eastAsia"/>
          <w:sz w:val="32"/>
          <w:szCs w:val="32"/>
        </w:rPr>
        <w:t>1、执行该项审计、评估项目的各类人员的数量、级别、执业资格、经验和技能；</w:t>
      </w:r>
    </w:p>
    <w:p>
      <w:pPr>
        <w:ind w:firstLine="660"/>
        <w:rPr>
          <w:sz w:val="32"/>
          <w:szCs w:val="32"/>
        </w:rPr>
      </w:pPr>
      <w:r>
        <w:rPr>
          <w:rFonts w:hint="eastAsia"/>
          <w:sz w:val="32"/>
          <w:szCs w:val="32"/>
        </w:rPr>
        <w:t>2、每一专业服务人员提供专业服务的时间；</w:t>
      </w:r>
    </w:p>
    <w:p>
      <w:pPr>
        <w:ind w:firstLine="660"/>
        <w:rPr>
          <w:sz w:val="32"/>
          <w:szCs w:val="32"/>
        </w:rPr>
      </w:pPr>
      <w:r>
        <w:rPr>
          <w:rFonts w:hint="eastAsia"/>
          <w:sz w:val="32"/>
          <w:szCs w:val="32"/>
        </w:rPr>
        <w:t>3、该审计、评估项目可能承担的各种风险和责任；</w:t>
      </w:r>
    </w:p>
    <w:p>
      <w:pPr>
        <w:ind w:firstLine="660"/>
        <w:rPr>
          <w:sz w:val="32"/>
          <w:szCs w:val="32"/>
        </w:rPr>
      </w:pPr>
      <w:r>
        <w:rPr>
          <w:rFonts w:hint="eastAsia"/>
          <w:sz w:val="32"/>
          <w:szCs w:val="32"/>
        </w:rPr>
        <w:t>4、其他相关费用。</w:t>
      </w:r>
    </w:p>
    <w:p>
      <w:pPr>
        <w:ind w:firstLine="660"/>
        <w:rPr>
          <w:sz w:val="32"/>
          <w:szCs w:val="32"/>
        </w:rPr>
      </w:pPr>
      <w:r>
        <w:rPr>
          <w:rFonts w:hint="eastAsia" w:ascii="黑体" w:hAnsi="黑体" w:eastAsia="黑体"/>
          <w:sz w:val="32"/>
          <w:szCs w:val="32"/>
        </w:rPr>
        <w:t>第五条</w:t>
      </w:r>
      <w:r>
        <w:rPr>
          <w:rFonts w:hint="eastAsia"/>
          <w:sz w:val="32"/>
          <w:szCs w:val="32"/>
        </w:rPr>
        <w:t xml:space="preserve"> 会计师事务所、资产评估机构确定的投标报价不得低于按照审计准则、资产评估准则要求执行该审计、评估项目所花费的成本。</w:t>
      </w:r>
    </w:p>
    <w:p>
      <w:pPr>
        <w:ind w:firstLine="660"/>
        <w:rPr>
          <w:sz w:val="32"/>
          <w:szCs w:val="32"/>
        </w:rPr>
      </w:pPr>
      <w:r>
        <w:rPr>
          <w:rFonts w:hint="eastAsia" w:ascii="黑体" w:hAnsi="黑体" w:eastAsia="黑体"/>
          <w:sz w:val="32"/>
          <w:szCs w:val="32"/>
        </w:rPr>
        <w:t>第六条</w:t>
      </w:r>
      <w:r>
        <w:rPr>
          <w:rFonts w:hint="eastAsia"/>
          <w:sz w:val="32"/>
          <w:szCs w:val="32"/>
        </w:rPr>
        <w:t xml:space="preserve"> 中标审计项目的会计师事务所、资产评估机构应当确保严格按照审计准则、质量控制准则、资产评估准则规定，执行该审计、评估项目。</w:t>
      </w:r>
    </w:p>
    <w:p>
      <w:pPr>
        <w:ind w:firstLine="660"/>
        <w:rPr>
          <w:sz w:val="32"/>
          <w:szCs w:val="32"/>
        </w:rPr>
      </w:pPr>
      <w:r>
        <w:rPr>
          <w:rFonts w:hint="eastAsia" w:ascii="黑体" w:hAnsi="黑体" w:eastAsia="黑体"/>
          <w:sz w:val="32"/>
          <w:szCs w:val="32"/>
        </w:rPr>
        <w:t>第七条</w:t>
      </w:r>
      <w:r>
        <w:rPr>
          <w:rFonts w:hint="eastAsia"/>
          <w:sz w:val="32"/>
          <w:szCs w:val="32"/>
        </w:rPr>
        <w:t xml:space="preserve"> 会计师事务所、资产评估机构在项目投标过程中，应当诚实守信，不得相互串通投标报价，不得以不正当手段排挤其他投标人的公平竞争，损害招标人或其他投标人的合法权益。</w:t>
      </w:r>
    </w:p>
    <w:p>
      <w:pPr>
        <w:ind w:firstLine="660"/>
        <w:jc w:val="center"/>
        <w:rPr>
          <w:rFonts w:ascii="黑体" w:hAnsi="黑体" w:eastAsia="黑体"/>
          <w:sz w:val="32"/>
          <w:szCs w:val="32"/>
        </w:rPr>
      </w:pPr>
    </w:p>
    <w:p>
      <w:pPr>
        <w:ind w:firstLine="660"/>
        <w:jc w:val="center"/>
        <w:rPr>
          <w:rFonts w:ascii="黑体" w:hAnsi="黑体" w:eastAsia="黑体"/>
          <w:sz w:val="32"/>
          <w:szCs w:val="32"/>
        </w:rPr>
      </w:pPr>
      <w:r>
        <w:rPr>
          <w:rFonts w:hint="eastAsia" w:ascii="黑体" w:hAnsi="黑体" w:eastAsia="黑体"/>
          <w:sz w:val="32"/>
          <w:szCs w:val="32"/>
        </w:rPr>
        <w:t>第三章 投标备案和执业质量监管</w:t>
      </w:r>
    </w:p>
    <w:p>
      <w:pPr>
        <w:ind w:firstLine="660"/>
        <w:rPr>
          <w:rFonts w:hint="eastAsia"/>
          <w:sz w:val="32"/>
          <w:szCs w:val="32"/>
        </w:rPr>
      </w:pPr>
      <w:r>
        <w:rPr>
          <w:rFonts w:hint="eastAsia" w:ascii="黑体" w:hAnsi="黑体" w:eastAsia="黑体"/>
          <w:sz w:val="32"/>
          <w:szCs w:val="32"/>
        </w:rPr>
        <w:t>第八条</w:t>
      </w:r>
      <w:r>
        <w:rPr>
          <w:rFonts w:hint="eastAsia"/>
          <w:sz w:val="32"/>
          <w:szCs w:val="32"/>
        </w:rPr>
        <w:t xml:space="preserve"> 通过以下方式中标较大审计、评估项目的会计师事务所、资产评估机构应当自收到中标通知书之日起的5个工作日之内，会计师事务所在内蒙古注协行业管理服务系统投标界面完成备案工作，资产评估机构向协会提供报备文件：</w:t>
      </w:r>
    </w:p>
    <w:p>
      <w:pPr>
        <w:ind w:firstLine="660"/>
        <w:rPr>
          <w:rFonts w:hint="eastAsia"/>
          <w:sz w:val="32"/>
          <w:szCs w:val="32"/>
        </w:rPr>
      </w:pPr>
      <w:r>
        <w:rPr>
          <w:rFonts w:hint="eastAsia"/>
          <w:sz w:val="32"/>
          <w:szCs w:val="32"/>
        </w:rPr>
        <w:t>（1）、采取公开招标；</w:t>
      </w:r>
    </w:p>
    <w:p>
      <w:pPr>
        <w:ind w:firstLine="660"/>
        <w:rPr>
          <w:rFonts w:hint="eastAsia"/>
          <w:sz w:val="32"/>
          <w:szCs w:val="32"/>
        </w:rPr>
      </w:pPr>
      <w:r>
        <w:rPr>
          <w:rFonts w:hint="eastAsia"/>
          <w:sz w:val="32"/>
          <w:szCs w:val="32"/>
        </w:rPr>
        <w:t>（2）、邀请招标；</w:t>
      </w:r>
    </w:p>
    <w:p>
      <w:pPr>
        <w:ind w:firstLine="660"/>
        <w:rPr>
          <w:rFonts w:hint="eastAsia"/>
          <w:sz w:val="32"/>
          <w:szCs w:val="32"/>
        </w:rPr>
      </w:pPr>
      <w:r>
        <w:rPr>
          <w:rFonts w:hint="eastAsia"/>
          <w:sz w:val="32"/>
          <w:szCs w:val="32"/>
        </w:rPr>
        <w:t>（3）、竞争性谈判；</w:t>
      </w:r>
    </w:p>
    <w:p>
      <w:pPr>
        <w:ind w:firstLine="660"/>
        <w:rPr>
          <w:rFonts w:hint="eastAsia"/>
          <w:sz w:val="32"/>
          <w:szCs w:val="32"/>
        </w:rPr>
      </w:pPr>
      <w:r>
        <w:rPr>
          <w:rFonts w:hint="eastAsia"/>
          <w:sz w:val="32"/>
          <w:szCs w:val="32"/>
        </w:rPr>
        <w:t>（4）、市场比价</w:t>
      </w:r>
    </w:p>
    <w:p>
      <w:pPr>
        <w:ind w:firstLine="660"/>
        <w:rPr>
          <w:sz w:val="32"/>
          <w:szCs w:val="32"/>
        </w:rPr>
      </w:pPr>
      <w:r>
        <w:rPr>
          <w:rFonts w:hint="eastAsia"/>
          <w:sz w:val="32"/>
          <w:szCs w:val="32"/>
        </w:rPr>
        <w:t>（5）其他入围或中标方式。</w:t>
      </w:r>
    </w:p>
    <w:p>
      <w:pPr>
        <w:ind w:firstLine="660"/>
        <w:rPr>
          <w:sz w:val="32"/>
          <w:szCs w:val="32"/>
        </w:rPr>
      </w:pPr>
      <w:r>
        <w:rPr>
          <w:rFonts w:hint="eastAsia" w:ascii="黑体" w:hAnsi="黑体" w:eastAsia="黑体"/>
          <w:sz w:val="32"/>
          <w:szCs w:val="32"/>
        </w:rPr>
        <w:t xml:space="preserve">第九条 </w:t>
      </w:r>
      <w:r>
        <w:rPr>
          <w:rFonts w:hint="eastAsia"/>
          <w:sz w:val="32"/>
          <w:szCs w:val="32"/>
        </w:rPr>
        <w:t>较大审计、评估项目是指被审计单位资产在10亿元以上、评估项目申报金额在10亿元以上或审计费用、资产评估费用在20万元以上的鉴证、非鉴证和评估项目以及参与的机构入围项目。</w:t>
      </w:r>
    </w:p>
    <w:p>
      <w:pPr>
        <w:ind w:firstLine="660"/>
        <w:rPr>
          <w:sz w:val="32"/>
          <w:szCs w:val="32"/>
        </w:rPr>
      </w:pPr>
      <w:r>
        <w:rPr>
          <w:rFonts w:hint="eastAsia" w:ascii="黑体" w:hAnsi="黑体" w:eastAsia="黑体"/>
          <w:sz w:val="32"/>
          <w:szCs w:val="32"/>
        </w:rPr>
        <w:t>第十条</w:t>
      </w:r>
      <w:r>
        <w:rPr>
          <w:rFonts w:hint="eastAsia"/>
          <w:sz w:val="32"/>
          <w:szCs w:val="32"/>
        </w:rPr>
        <w:t xml:space="preserve"> 对符合上述第八、九条规定的会计师事务所中标项目报备的文件及内容：</w:t>
      </w:r>
    </w:p>
    <w:p>
      <w:pPr>
        <w:ind w:firstLine="660"/>
        <w:rPr>
          <w:sz w:val="32"/>
          <w:szCs w:val="32"/>
        </w:rPr>
      </w:pPr>
      <w:r>
        <w:rPr>
          <w:rFonts w:hint="eastAsia"/>
          <w:sz w:val="32"/>
          <w:szCs w:val="32"/>
        </w:rPr>
        <w:t>（1）、招标公告；</w:t>
      </w:r>
    </w:p>
    <w:p>
      <w:pPr>
        <w:ind w:firstLine="660"/>
        <w:rPr>
          <w:sz w:val="32"/>
          <w:szCs w:val="32"/>
        </w:rPr>
      </w:pPr>
      <w:r>
        <w:rPr>
          <w:rFonts w:hint="eastAsia"/>
          <w:sz w:val="32"/>
          <w:szCs w:val="32"/>
        </w:rPr>
        <w:t>（2）、招标单位及招标代理机构；</w:t>
      </w:r>
    </w:p>
    <w:p>
      <w:pPr>
        <w:ind w:firstLine="660"/>
        <w:rPr>
          <w:sz w:val="32"/>
          <w:szCs w:val="32"/>
        </w:rPr>
      </w:pPr>
      <w:r>
        <w:rPr>
          <w:rFonts w:hint="eastAsia"/>
          <w:sz w:val="32"/>
          <w:szCs w:val="32"/>
        </w:rPr>
        <w:t>（3）、招标项目工作内容或服务要求；</w:t>
      </w:r>
    </w:p>
    <w:p>
      <w:pPr>
        <w:ind w:firstLine="660"/>
        <w:rPr>
          <w:sz w:val="32"/>
          <w:szCs w:val="32"/>
        </w:rPr>
      </w:pPr>
      <w:r>
        <w:rPr>
          <w:rFonts w:hint="eastAsia"/>
          <w:sz w:val="32"/>
          <w:szCs w:val="32"/>
        </w:rPr>
        <w:t>（4）、招标方报价要求或预算控制金额；</w:t>
      </w:r>
    </w:p>
    <w:p>
      <w:pPr>
        <w:ind w:firstLine="660"/>
        <w:rPr>
          <w:sz w:val="32"/>
          <w:szCs w:val="32"/>
        </w:rPr>
      </w:pPr>
      <w:r>
        <w:rPr>
          <w:rFonts w:hint="eastAsia"/>
          <w:sz w:val="32"/>
          <w:szCs w:val="32"/>
        </w:rPr>
        <w:t>（5）、招标方要求工作时限；</w:t>
      </w:r>
    </w:p>
    <w:p>
      <w:pPr>
        <w:ind w:firstLine="660"/>
        <w:rPr>
          <w:sz w:val="32"/>
          <w:szCs w:val="32"/>
        </w:rPr>
      </w:pPr>
      <w:r>
        <w:rPr>
          <w:rFonts w:hint="eastAsia"/>
          <w:sz w:val="32"/>
          <w:szCs w:val="32"/>
        </w:rPr>
        <w:t>（6）、本所投标报价情况；</w:t>
      </w:r>
    </w:p>
    <w:p>
      <w:pPr>
        <w:ind w:firstLine="660"/>
        <w:rPr>
          <w:sz w:val="32"/>
          <w:szCs w:val="32"/>
        </w:rPr>
      </w:pPr>
      <w:r>
        <w:rPr>
          <w:rFonts w:hint="eastAsia"/>
          <w:sz w:val="32"/>
          <w:szCs w:val="32"/>
        </w:rPr>
        <w:t>（7）、中标通知书；</w:t>
      </w:r>
    </w:p>
    <w:p>
      <w:pPr>
        <w:ind w:firstLine="660"/>
        <w:rPr>
          <w:sz w:val="32"/>
          <w:szCs w:val="32"/>
        </w:rPr>
      </w:pPr>
      <w:r>
        <w:rPr>
          <w:rFonts w:hint="eastAsia"/>
          <w:sz w:val="32"/>
          <w:szCs w:val="32"/>
        </w:rPr>
        <w:t>（8）、签署的业务约定书；</w:t>
      </w:r>
    </w:p>
    <w:p>
      <w:pPr>
        <w:ind w:firstLine="660"/>
        <w:rPr>
          <w:rFonts w:hint="eastAsia" w:eastAsiaTheme="minorEastAsia"/>
          <w:sz w:val="32"/>
          <w:szCs w:val="32"/>
          <w:lang w:eastAsia="zh-CN"/>
        </w:rPr>
      </w:pPr>
      <w:r>
        <w:rPr>
          <w:rFonts w:hint="eastAsia"/>
          <w:sz w:val="32"/>
          <w:szCs w:val="32"/>
        </w:rPr>
        <w:t>（9）、其他与本项目相关的重要事项</w:t>
      </w:r>
      <w:r>
        <w:rPr>
          <w:rFonts w:hint="eastAsia"/>
          <w:sz w:val="32"/>
          <w:szCs w:val="32"/>
          <w:lang w:eastAsia="zh-CN"/>
        </w:rPr>
        <w:t>。</w:t>
      </w:r>
      <w:bookmarkStart w:id="0" w:name="_GoBack"/>
      <w:bookmarkEnd w:id="0"/>
    </w:p>
    <w:p>
      <w:pPr>
        <w:ind w:firstLine="660"/>
        <w:rPr>
          <w:rFonts w:hint="eastAsia" w:eastAsiaTheme="minorEastAsia"/>
          <w:sz w:val="32"/>
          <w:szCs w:val="32"/>
          <w:lang w:eastAsia="zh-CN"/>
        </w:rPr>
      </w:pPr>
      <w:r>
        <w:rPr>
          <w:rFonts w:hint="eastAsia" w:ascii="黑体" w:hAnsi="黑体" w:eastAsia="黑体"/>
          <w:sz w:val="32"/>
          <w:szCs w:val="32"/>
        </w:rPr>
        <w:t xml:space="preserve">第十一条 </w:t>
      </w:r>
      <w:r>
        <w:rPr>
          <w:rFonts w:hint="eastAsia"/>
          <w:sz w:val="32"/>
          <w:szCs w:val="32"/>
        </w:rPr>
        <w:t xml:space="preserve"> 对符合上述第八、九条规定的资产评估机构</w:t>
      </w:r>
      <w:r>
        <w:rPr>
          <w:rFonts w:hint="eastAsia"/>
          <w:sz w:val="32"/>
          <w:szCs w:val="32"/>
          <w:lang w:eastAsia="zh-CN"/>
        </w:rPr>
        <w:t>中标项目</w:t>
      </w:r>
      <w:r>
        <w:rPr>
          <w:rFonts w:hint="eastAsia"/>
          <w:sz w:val="32"/>
          <w:szCs w:val="32"/>
        </w:rPr>
        <w:t>报备</w:t>
      </w:r>
      <w:r>
        <w:rPr>
          <w:rFonts w:hint="eastAsia"/>
          <w:sz w:val="32"/>
          <w:szCs w:val="32"/>
          <w:lang w:eastAsia="zh-CN"/>
        </w:rPr>
        <w:t>的文件及</w:t>
      </w:r>
      <w:r>
        <w:rPr>
          <w:rFonts w:hint="eastAsia"/>
          <w:sz w:val="32"/>
          <w:szCs w:val="32"/>
        </w:rPr>
        <w:t>内容</w:t>
      </w:r>
      <w:r>
        <w:rPr>
          <w:rFonts w:hint="eastAsia"/>
          <w:sz w:val="32"/>
          <w:szCs w:val="32"/>
          <w:lang w:eastAsia="zh-CN"/>
        </w:rPr>
        <w:t>：</w:t>
      </w:r>
    </w:p>
    <w:p>
      <w:pPr>
        <w:ind w:firstLine="660"/>
        <w:rPr>
          <w:sz w:val="32"/>
          <w:szCs w:val="32"/>
        </w:rPr>
      </w:pPr>
      <w:r>
        <w:rPr>
          <w:rFonts w:hint="eastAsia"/>
          <w:sz w:val="32"/>
          <w:szCs w:val="32"/>
        </w:rPr>
        <w:t>（1）、招标一览表复印件，含采购单位的最高限价；</w:t>
      </w:r>
    </w:p>
    <w:p>
      <w:pPr>
        <w:ind w:firstLine="660"/>
        <w:rPr>
          <w:sz w:val="32"/>
          <w:szCs w:val="32"/>
        </w:rPr>
      </w:pPr>
      <w:r>
        <w:rPr>
          <w:rFonts w:hint="eastAsia"/>
          <w:sz w:val="32"/>
          <w:szCs w:val="32"/>
        </w:rPr>
        <w:t>（2）、中标通知书复印件；</w:t>
      </w:r>
    </w:p>
    <w:p>
      <w:pPr>
        <w:ind w:firstLine="660"/>
        <w:rPr>
          <w:sz w:val="32"/>
          <w:szCs w:val="32"/>
        </w:rPr>
      </w:pPr>
      <w:r>
        <w:rPr>
          <w:rFonts w:hint="eastAsia"/>
          <w:sz w:val="32"/>
          <w:szCs w:val="32"/>
        </w:rPr>
        <w:t>（3）、报价依据；</w:t>
      </w:r>
    </w:p>
    <w:p>
      <w:pPr>
        <w:ind w:firstLine="660"/>
        <w:rPr>
          <w:rFonts w:hint="eastAsia" w:eastAsiaTheme="minorEastAsia"/>
          <w:sz w:val="32"/>
          <w:szCs w:val="32"/>
          <w:lang w:eastAsia="zh-CN"/>
        </w:rPr>
      </w:pPr>
      <w:r>
        <w:rPr>
          <w:rFonts w:hint="eastAsia"/>
          <w:sz w:val="32"/>
          <w:szCs w:val="32"/>
        </w:rPr>
        <w:t>（4）、被评估对象简介、项目负责人及成员</w:t>
      </w:r>
      <w:r>
        <w:rPr>
          <w:rFonts w:hint="eastAsia"/>
          <w:sz w:val="32"/>
          <w:szCs w:val="32"/>
          <w:lang w:eastAsia="zh-CN"/>
        </w:rPr>
        <w:t>。</w:t>
      </w:r>
    </w:p>
    <w:p>
      <w:pPr>
        <w:ind w:firstLine="660"/>
        <w:rPr>
          <w:sz w:val="32"/>
          <w:szCs w:val="32"/>
        </w:rPr>
      </w:pPr>
      <w:r>
        <w:rPr>
          <w:rFonts w:hint="eastAsia" w:ascii="黑体" w:hAnsi="黑体" w:eastAsia="黑体"/>
          <w:sz w:val="32"/>
          <w:szCs w:val="32"/>
        </w:rPr>
        <w:t>第十二条</w:t>
      </w:r>
      <w:r>
        <w:rPr>
          <w:rFonts w:hint="eastAsia"/>
          <w:sz w:val="32"/>
          <w:szCs w:val="32"/>
        </w:rPr>
        <w:t xml:space="preserve"> 内蒙古自治区注册会计师协会为切实履行监管职责，对中标会计师事务所、资产评估机构在完成报告70日后，要求提供该项目工作底稿，对其执业质量进行抽查。</w:t>
      </w:r>
    </w:p>
    <w:p>
      <w:pPr>
        <w:ind w:firstLine="660"/>
        <w:rPr>
          <w:sz w:val="32"/>
          <w:szCs w:val="32"/>
        </w:rPr>
      </w:pPr>
      <w:r>
        <w:rPr>
          <w:rFonts w:hint="eastAsia" w:ascii="黑体" w:hAnsi="黑体" w:eastAsia="黑体"/>
          <w:sz w:val="32"/>
          <w:szCs w:val="32"/>
        </w:rPr>
        <w:t>第十三条</w:t>
      </w:r>
      <w:r>
        <w:rPr>
          <w:rFonts w:hint="eastAsia"/>
          <w:sz w:val="32"/>
          <w:szCs w:val="32"/>
        </w:rPr>
        <w:t xml:space="preserve"> 内蒙古自治区注册会计师协会应当对检查发现存在违规执业行为的会计师事务所、资产评估机构，将根据《中国注册会计师协会会员执业违规行为惩戒办法》、《中国资产评估协会会员执业行为自律惩戒办法》等规定，给予行业惩戒。</w:t>
      </w:r>
    </w:p>
    <w:p>
      <w:pPr>
        <w:ind w:firstLine="660"/>
        <w:rPr>
          <w:sz w:val="32"/>
          <w:szCs w:val="32"/>
        </w:rPr>
      </w:pPr>
      <w:r>
        <w:rPr>
          <w:rFonts w:hint="eastAsia" w:ascii="黑体" w:hAnsi="黑体" w:eastAsia="黑体"/>
          <w:sz w:val="32"/>
          <w:szCs w:val="32"/>
        </w:rPr>
        <w:t>第十四条</w:t>
      </w:r>
      <w:r>
        <w:rPr>
          <w:rFonts w:hint="eastAsia"/>
          <w:sz w:val="32"/>
          <w:szCs w:val="32"/>
        </w:rPr>
        <w:t xml:space="preserve"> 内蒙古自治区注册会计师协会可以将检查发现的存在重大违规执业行为，应当给予行政处罚或可能构成犯罪的会计师事务所、资产评估机构和注册会计师、资产评估师，移交有关部门或司法机关调查处理。</w:t>
      </w:r>
    </w:p>
    <w:p>
      <w:pPr>
        <w:ind w:firstLine="660"/>
        <w:rPr>
          <w:sz w:val="32"/>
          <w:szCs w:val="32"/>
        </w:rPr>
      </w:pPr>
      <w:r>
        <w:rPr>
          <w:rFonts w:hint="eastAsia" w:ascii="黑体" w:hAnsi="黑体" w:eastAsia="黑体"/>
          <w:sz w:val="32"/>
          <w:szCs w:val="32"/>
        </w:rPr>
        <w:t>第十五条</w:t>
      </w:r>
      <w:r>
        <w:rPr>
          <w:rFonts w:hint="eastAsia"/>
          <w:sz w:val="32"/>
          <w:szCs w:val="32"/>
        </w:rPr>
        <w:t xml:space="preserve"> 会计师事务所、资产评估机构对属于备案范围的中标项目未在规定期限内进行投标备案或对抽查项目未按时提供相应工作底稿配合协会进行执业质量抽查，协会于次日起无限期暂停其登录内蒙古自治区注册会计师协会行业管理服务系统和中评协资产评估报告统一编码系统，当年度取消其综合评级资格，一年内协会不向其提供执业诚信证明。</w:t>
      </w:r>
    </w:p>
    <w:p>
      <w:pPr>
        <w:ind w:firstLine="660"/>
        <w:rPr>
          <w:sz w:val="32"/>
          <w:szCs w:val="32"/>
        </w:rPr>
      </w:pPr>
    </w:p>
    <w:p>
      <w:pPr>
        <w:ind w:left="660"/>
        <w:jc w:val="center"/>
        <w:rPr>
          <w:rFonts w:ascii="黑体" w:hAnsi="黑体" w:eastAsia="黑体"/>
          <w:sz w:val="32"/>
          <w:szCs w:val="32"/>
        </w:rPr>
      </w:pPr>
      <w:r>
        <w:rPr>
          <w:rFonts w:hint="eastAsia" w:ascii="黑体" w:hAnsi="黑体" w:eastAsia="黑体"/>
          <w:sz w:val="32"/>
          <w:szCs w:val="32"/>
        </w:rPr>
        <w:t>第五章 附 则</w:t>
      </w:r>
    </w:p>
    <w:p>
      <w:pPr>
        <w:pStyle w:val="9"/>
        <w:ind w:left="1980" w:firstLine="0" w:firstLineChars="0"/>
        <w:rPr>
          <w:rFonts w:ascii="黑体" w:hAnsi="黑体" w:eastAsia="黑体"/>
          <w:sz w:val="32"/>
          <w:szCs w:val="32"/>
        </w:rPr>
      </w:pPr>
    </w:p>
    <w:p>
      <w:pPr>
        <w:ind w:firstLine="660"/>
        <w:rPr>
          <w:sz w:val="32"/>
          <w:szCs w:val="32"/>
        </w:rPr>
      </w:pPr>
      <w:r>
        <w:rPr>
          <w:rFonts w:hint="eastAsia" w:ascii="黑体" w:hAnsi="黑体" w:eastAsia="黑体"/>
          <w:sz w:val="32"/>
          <w:szCs w:val="32"/>
        </w:rPr>
        <w:t>第十六条</w:t>
      </w:r>
      <w:r>
        <w:rPr>
          <w:rFonts w:hint="eastAsia"/>
          <w:sz w:val="32"/>
          <w:szCs w:val="32"/>
        </w:rPr>
        <w:t xml:space="preserve"> 按照属地管理原则，在内蒙古自治区执业而注册地未设在内蒙古自治区的会计师事务所、资产评估机构参照本办法执行。</w:t>
      </w:r>
    </w:p>
    <w:p>
      <w:pPr>
        <w:ind w:firstLine="660"/>
        <w:rPr>
          <w:sz w:val="32"/>
          <w:szCs w:val="32"/>
        </w:rPr>
      </w:pPr>
      <w:r>
        <w:rPr>
          <w:rFonts w:hint="eastAsia" w:ascii="黑体" w:hAnsi="黑体" w:eastAsia="黑体"/>
          <w:sz w:val="32"/>
          <w:szCs w:val="32"/>
        </w:rPr>
        <w:t>第十七条</w:t>
      </w:r>
      <w:r>
        <w:rPr>
          <w:rFonts w:hint="eastAsia"/>
          <w:sz w:val="32"/>
          <w:szCs w:val="32"/>
        </w:rPr>
        <w:t xml:space="preserve"> 本办法自2018年 月 日施行。</w:t>
      </w:r>
    </w:p>
    <w:p>
      <w:pPr>
        <w:ind w:firstLine="660"/>
        <w:rPr>
          <w:sz w:val="32"/>
          <w:szCs w:val="32"/>
        </w:rPr>
      </w:pPr>
    </w:p>
    <w:p>
      <w:pPr>
        <w:ind w:firstLine="660"/>
        <w:rPr>
          <w:sz w:val="32"/>
          <w:szCs w:val="32"/>
        </w:rPr>
      </w:pPr>
      <w:r>
        <w:rPr>
          <w:rFonts w:hint="eastAsia"/>
          <w:sz w:val="32"/>
          <w:szCs w:val="32"/>
        </w:rPr>
        <w:t>附：中标项目报备情况表</w:t>
      </w:r>
    </w:p>
    <w:p>
      <w:pPr>
        <w:ind w:right="640"/>
        <w:rPr>
          <w:sz w:val="32"/>
          <w:szCs w:val="32"/>
        </w:rPr>
      </w:pPr>
    </w:p>
    <w:p>
      <w:pPr>
        <w:ind w:firstLine="660"/>
        <w:jc w:val="right"/>
        <w:rPr>
          <w:sz w:val="32"/>
          <w:szCs w:val="32"/>
        </w:rPr>
      </w:pPr>
    </w:p>
    <w:p>
      <w:pPr>
        <w:ind w:firstLine="660"/>
        <w:jc w:val="right"/>
        <w:rPr>
          <w:sz w:val="32"/>
          <w:szCs w:val="32"/>
        </w:rPr>
      </w:pPr>
      <w:r>
        <w:rPr>
          <w:rFonts w:hint="eastAsia"/>
          <w:sz w:val="32"/>
          <w:szCs w:val="32"/>
        </w:rPr>
        <w:t>内蒙古自治区注册会计师协会</w:t>
      </w:r>
    </w:p>
    <w:p>
      <w:pPr>
        <w:ind w:right="640" w:firstLine="660"/>
        <w:jc w:val="center"/>
        <w:rPr>
          <w:sz w:val="32"/>
          <w:szCs w:val="32"/>
        </w:rPr>
      </w:pPr>
      <w:r>
        <w:rPr>
          <w:rFonts w:hint="eastAsia"/>
          <w:sz w:val="32"/>
          <w:szCs w:val="32"/>
        </w:rPr>
        <w:t xml:space="preserve">                        2018年6月20日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8565621"/>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917B6"/>
    <w:multiLevelType w:val="multilevel"/>
    <w:tmpl w:val="496917B6"/>
    <w:lvl w:ilvl="0" w:tentative="0">
      <w:start w:val="1"/>
      <w:numFmt w:val="japaneseCounting"/>
      <w:lvlText w:val="第%1章"/>
      <w:lvlJc w:val="left"/>
      <w:pPr>
        <w:ind w:left="1980" w:hanging="132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AA"/>
    <w:rsid w:val="00001FB4"/>
    <w:rsid w:val="00005F1F"/>
    <w:rsid w:val="000063C5"/>
    <w:rsid w:val="000069CA"/>
    <w:rsid w:val="00007B6B"/>
    <w:rsid w:val="00013A5E"/>
    <w:rsid w:val="000146CD"/>
    <w:rsid w:val="000273DF"/>
    <w:rsid w:val="0003049B"/>
    <w:rsid w:val="000304BC"/>
    <w:rsid w:val="00030D2E"/>
    <w:rsid w:val="000310F2"/>
    <w:rsid w:val="00032C31"/>
    <w:rsid w:val="00037795"/>
    <w:rsid w:val="000428B1"/>
    <w:rsid w:val="000466EB"/>
    <w:rsid w:val="0005070C"/>
    <w:rsid w:val="0005121E"/>
    <w:rsid w:val="000530BD"/>
    <w:rsid w:val="00057A45"/>
    <w:rsid w:val="00062CA7"/>
    <w:rsid w:val="00071439"/>
    <w:rsid w:val="00074FBA"/>
    <w:rsid w:val="00076D84"/>
    <w:rsid w:val="00080A60"/>
    <w:rsid w:val="00082538"/>
    <w:rsid w:val="000840D5"/>
    <w:rsid w:val="00084837"/>
    <w:rsid w:val="00086775"/>
    <w:rsid w:val="00086B37"/>
    <w:rsid w:val="00087E69"/>
    <w:rsid w:val="00092707"/>
    <w:rsid w:val="000954C8"/>
    <w:rsid w:val="000A3331"/>
    <w:rsid w:val="000A5617"/>
    <w:rsid w:val="000A66C5"/>
    <w:rsid w:val="000A6CFF"/>
    <w:rsid w:val="000B0E12"/>
    <w:rsid w:val="000C3470"/>
    <w:rsid w:val="000C6D19"/>
    <w:rsid w:val="000C6EDF"/>
    <w:rsid w:val="000C75FB"/>
    <w:rsid w:val="000D4EA6"/>
    <w:rsid w:val="000E0035"/>
    <w:rsid w:val="000E0E37"/>
    <w:rsid w:val="000E2446"/>
    <w:rsid w:val="000E300F"/>
    <w:rsid w:val="000E504A"/>
    <w:rsid w:val="000E6178"/>
    <w:rsid w:val="000F2823"/>
    <w:rsid w:val="000F6BDE"/>
    <w:rsid w:val="00100D2E"/>
    <w:rsid w:val="00102C7E"/>
    <w:rsid w:val="001135F0"/>
    <w:rsid w:val="001374FF"/>
    <w:rsid w:val="00142CB6"/>
    <w:rsid w:val="00143152"/>
    <w:rsid w:val="00150C2C"/>
    <w:rsid w:val="00151D5C"/>
    <w:rsid w:val="00151FAF"/>
    <w:rsid w:val="00154E9E"/>
    <w:rsid w:val="00160818"/>
    <w:rsid w:val="00166635"/>
    <w:rsid w:val="00173C35"/>
    <w:rsid w:val="0017435C"/>
    <w:rsid w:val="00174495"/>
    <w:rsid w:val="001762CE"/>
    <w:rsid w:val="00186E4C"/>
    <w:rsid w:val="00187AB7"/>
    <w:rsid w:val="001913C2"/>
    <w:rsid w:val="001931A3"/>
    <w:rsid w:val="00194C3E"/>
    <w:rsid w:val="001B15E1"/>
    <w:rsid w:val="001B2980"/>
    <w:rsid w:val="001B63D9"/>
    <w:rsid w:val="001B7465"/>
    <w:rsid w:val="001C2108"/>
    <w:rsid w:val="001C4719"/>
    <w:rsid w:val="001C49B4"/>
    <w:rsid w:val="001D6EF2"/>
    <w:rsid w:val="001E096F"/>
    <w:rsid w:val="001E2F57"/>
    <w:rsid w:val="001E75DC"/>
    <w:rsid w:val="001F03DB"/>
    <w:rsid w:val="001F0EF1"/>
    <w:rsid w:val="001F348A"/>
    <w:rsid w:val="001F4C08"/>
    <w:rsid w:val="00205EBA"/>
    <w:rsid w:val="0020782A"/>
    <w:rsid w:val="00210258"/>
    <w:rsid w:val="0021231B"/>
    <w:rsid w:val="0021766D"/>
    <w:rsid w:val="00220B8C"/>
    <w:rsid w:val="0022457C"/>
    <w:rsid w:val="0022625C"/>
    <w:rsid w:val="00230AB7"/>
    <w:rsid w:val="002401E4"/>
    <w:rsid w:val="00243612"/>
    <w:rsid w:val="002477EE"/>
    <w:rsid w:val="0025013E"/>
    <w:rsid w:val="00250A59"/>
    <w:rsid w:val="00252788"/>
    <w:rsid w:val="00253D63"/>
    <w:rsid w:val="0026057E"/>
    <w:rsid w:val="00260D57"/>
    <w:rsid w:val="00262420"/>
    <w:rsid w:val="002628B3"/>
    <w:rsid w:val="00266895"/>
    <w:rsid w:val="00267497"/>
    <w:rsid w:val="00271160"/>
    <w:rsid w:val="00272302"/>
    <w:rsid w:val="0027332F"/>
    <w:rsid w:val="00273873"/>
    <w:rsid w:val="00274820"/>
    <w:rsid w:val="00275F44"/>
    <w:rsid w:val="00277673"/>
    <w:rsid w:val="002820A4"/>
    <w:rsid w:val="002966BE"/>
    <w:rsid w:val="002A0C90"/>
    <w:rsid w:val="002A1197"/>
    <w:rsid w:val="002B7D40"/>
    <w:rsid w:val="002C0978"/>
    <w:rsid w:val="002C3556"/>
    <w:rsid w:val="002C4475"/>
    <w:rsid w:val="002D149C"/>
    <w:rsid w:val="002D1B24"/>
    <w:rsid w:val="002D2AFB"/>
    <w:rsid w:val="002D2C68"/>
    <w:rsid w:val="002D2F58"/>
    <w:rsid w:val="002D47BE"/>
    <w:rsid w:val="002D748A"/>
    <w:rsid w:val="002E1A67"/>
    <w:rsid w:val="002E2064"/>
    <w:rsid w:val="002E6F43"/>
    <w:rsid w:val="002F7081"/>
    <w:rsid w:val="00301C60"/>
    <w:rsid w:val="00305A72"/>
    <w:rsid w:val="00314D07"/>
    <w:rsid w:val="00316130"/>
    <w:rsid w:val="003263B6"/>
    <w:rsid w:val="00335384"/>
    <w:rsid w:val="0033668B"/>
    <w:rsid w:val="003367B3"/>
    <w:rsid w:val="0034083B"/>
    <w:rsid w:val="00340B88"/>
    <w:rsid w:val="00345EBE"/>
    <w:rsid w:val="003525EF"/>
    <w:rsid w:val="003534F2"/>
    <w:rsid w:val="00354B5C"/>
    <w:rsid w:val="003552F4"/>
    <w:rsid w:val="003617FE"/>
    <w:rsid w:val="00362693"/>
    <w:rsid w:val="00364236"/>
    <w:rsid w:val="00374410"/>
    <w:rsid w:val="0037637A"/>
    <w:rsid w:val="003776BB"/>
    <w:rsid w:val="00382372"/>
    <w:rsid w:val="00385DFF"/>
    <w:rsid w:val="00397E45"/>
    <w:rsid w:val="003A44C8"/>
    <w:rsid w:val="003A76D1"/>
    <w:rsid w:val="003B00DA"/>
    <w:rsid w:val="003C0C65"/>
    <w:rsid w:val="003C1E0E"/>
    <w:rsid w:val="003C4E02"/>
    <w:rsid w:val="003C63E6"/>
    <w:rsid w:val="003C6B45"/>
    <w:rsid w:val="003C7309"/>
    <w:rsid w:val="003D0CB2"/>
    <w:rsid w:val="003D5F6B"/>
    <w:rsid w:val="003D6459"/>
    <w:rsid w:val="003D7621"/>
    <w:rsid w:val="003E5399"/>
    <w:rsid w:val="003F0175"/>
    <w:rsid w:val="003F02DD"/>
    <w:rsid w:val="003F36D3"/>
    <w:rsid w:val="003F5865"/>
    <w:rsid w:val="00400DB0"/>
    <w:rsid w:val="0040174F"/>
    <w:rsid w:val="0040455C"/>
    <w:rsid w:val="0041180A"/>
    <w:rsid w:val="004132D6"/>
    <w:rsid w:val="004135D9"/>
    <w:rsid w:val="00420541"/>
    <w:rsid w:val="00423B08"/>
    <w:rsid w:val="00424B63"/>
    <w:rsid w:val="00425441"/>
    <w:rsid w:val="004254CD"/>
    <w:rsid w:val="00427773"/>
    <w:rsid w:val="00443255"/>
    <w:rsid w:val="00445147"/>
    <w:rsid w:val="00445802"/>
    <w:rsid w:val="00451B8C"/>
    <w:rsid w:val="00452CFD"/>
    <w:rsid w:val="00453852"/>
    <w:rsid w:val="00454B30"/>
    <w:rsid w:val="0045781F"/>
    <w:rsid w:val="00460162"/>
    <w:rsid w:val="00460F42"/>
    <w:rsid w:val="00472C81"/>
    <w:rsid w:val="00475ADB"/>
    <w:rsid w:val="00482452"/>
    <w:rsid w:val="00495832"/>
    <w:rsid w:val="00496E95"/>
    <w:rsid w:val="004A341E"/>
    <w:rsid w:val="004A63BE"/>
    <w:rsid w:val="004A6C67"/>
    <w:rsid w:val="004B4CFB"/>
    <w:rsid w:val="004B4F1E"/>
    <w:rsid w:val="004C0B57"/>
    <w:rsid w:val="004C1ABD"/>
    <w:rsid w:val="004C1D90"/>
    <w:rsid w:val="004C5DCA"/>
    <w:rsid w:val="004E5897"/>
    <w:rsid w:val="00501047"/>
    <w:rsid w:val="00503294"/>
    <w:rsid w:val="005054EB"/>
    <w:rsid w:val="00506CE9"/>
    <w:rsid w:val="00507EE9"/>
    <w:rsid w:val="005144C0"/>
    <w:rsid w:val="00515877"/>
    <w:rsid w:val="00515C1D"/>
    <w:rsid w:val="00521A00"/>
    <w:rsid w:val="00534170"/>
    <w:rsid w:val="005459A2"/>
    <w:rsid w:val="00560844"/>
    <w:rsid w:val="0056576B"/>
    <w:rsid w:val="00565D87"/>
    <w:rsid w:val="00574400"/>
    <w:rsid w:val="00581E0B"/>
    <w:rsid w:val="00585C85"/>
    <w:rsid w:val="0059455C"/>
    <w:rsid w:val="00594812"/>
    <w:rsid w:val="00596DEE"/>
    <w:rsid w:val="005A2D9E"/>
    <w:rsid w:val="005A6B8A"/>
    <w:rsid w:val="005B2682"/>
    <w:rsid w:val="005B3CB4"/>
    <w:rsid w:val="005B4183"/>
    <w:rsid w:val="005B6A7D"/>
    <w:rsid w:val="005C0FA2"/>
    <w:rsid w:val="005C1658"/>
    <w:rsid w:val="005C1941"/>
    <w:rsid w:val="005C24F3"/>
    <w:rsid w:val="005D3400"/>
    <w:rsid w:val="005D39FB"/>
    <w:rsid w:val="005D5938"/>
    <w:rsid w:val="005E23F9"/>
    <w:rsid w:val="005E5C72"/>
    <w:rsid w:val="005E7D82"/>
    <w:rsid w:val="005F19E5"/>
    <w:rsid w:val="006007F6"/>
    <w:rsid w:val="00603731"/>
    <w:rsid w:val="00604CDC"/>
    <w:rsid w:val="0060584C"/>
    <w:rsid w:val="00613A77"/>
    <w:rsid w:val="00613CE9"/>
    <w:rsid w:val="00624612"/>
    <w:rsid w:val="006265AC"/>
    <w:rsid w:val="006311CE"/>
    <w:rsid w:val="006412AF"/>
    <w:rsid w:val="00641940"/>
    <w:rsid w:val="00644888"/>
    <w:rsid w:val="0064570D"/>
    <w:rsid w:val="00650465"/>
    <w:rsid w:val="00655F4A"/>
    <w:rsid w:val="00660F71"/>
    <w:rsid w:val="00661114"/>
    <w:rsid w:val="006640B7"/>
    <w:rsid w:val="00664F42"/>
    <w:rsid w:val="006654F2"/>
    <w:rsid w:val="006745A2"/>
    <w:rsid w:val="00675CFA"/>
    <w:rsid w:val="00677A9F"/>
    <w:rsid w:val="006901A7"/>
    <w:rsid w:val="006948B1"/>
    <w:rsid w:val="00695D9D"/>
    <w:rsid w:val="00697A28"/>
    <w:rsid w:val="006A059E"/>
    <w:rsid w:val="006A1689"/>
    <w:rsid w:val="006A7803"/>
    <w:rsid w:val="006B23EF"/>
    <w:rsid w:val="006B2B3C"/>
    <w:rsid w:val="006B2DB1"/>
    <w:rsid w:val="006B46F3"/>
    <w:rsid w:val="006B5505"/>
    <w:rsid w:val="006C24B7"/>
    <w:rsid w:val="006C2D1A"/>
    <w:rsid w:val="006C416E"/>
    <w:rsid w:val="006C4CE4"/>
    <w:rsid w:val="006D64D0"/>
    <w:rsid w:val="006E259B"/>
    <w:rsid w:val="006E2F33"/>
    <w:rsid w:val="006E39B2"/>
    <w:rsid w:val="006E56A5"/>
    <w:rsid w:val="006E6F3A"/>
    <w:rsid w:val="006E74DF"/>
    <w:rsid w:val="006F4CE6"/>
    <w:rsid w:val="0071432F"/>
    <w:rsid w:val="00714FCC"/>
    <w:rsid w:val="00721A7B"/>
    <w:rsid w:val="00723F2E"/>
    <w:rsid w:val="00725441"/>
    <w:rsid w:val="00740BA7"/>
    <w:rsid w:val="00740DF3"/>
    <w:rsid w:val="0074110C"/>
    <w:rsid w:val="00742394"/>
    <w:rsid w:val="007423E7"/>
    <w:rsid w:val="00743E2B"/>
    <w:rsid w:val="00745B70"/>
    <w:rsid w:val="00745E51"/>
    <w:rsid w:val="00747A4D"/>
    <w:rsid w:val="00756638"/>
    <w:rsid w:val="00762F64"/>
    <w:rsid w:val="0076625E"/>
    <w:rsid w:val="00766D82"/>
    <w:rsid w:val="007748F7"/>
    <w:rsid w:val="007804CD"/>
    <w:rsid w:val="00783CFF"/>
    <w:rsid w:val="007852FE"/>
    <w:rsid w:val="007969E4"/>
    <w:rsid w:val="0079720D"/>
    <w:rsid w:val="007A6D56"/>
    <w:rsid w:val="007B337C"/>
    <w:rsid w:val="007B551F"/>
    <w:rsid w:val="007B5A63"/>
    <w:rsid w:val="007D2114"/>
    <w:rsid w:val="007E04C6"/>
    <w:rsid w:val="007E3F10"/>
    <w:rsid w:val="007E65C2"/>
    <w:rsid w:val="007F15B8"/>
    <w:rsid w:val="007F1B11"/>
    <w:rsid w:val="007F3331"/>
    <w:rsid w:val="007F6C59"/>
    <w:rsid w:val="008008F2"/>
    <w:rsid w:val="008139E7"/>
    <w:rsid w:val="0081445C"/>
    <w:rsid w:val="0081637E"/>
    <w:rsid w:val="0082186A"/>
    <w:rsid w:val="008258CB"/>
    <w:rsid w:val="00832039"/>
    <w:rsid w:val="00834A89"/>
    <w:rsid w:val="00834C9D"/>
    <w:rsid w:val="008516DE"/>
    <w:rsid w:val="00853F23"/>
    <w:rsid w:val="00863716"/>
    <w:rsid w:val="00867307"/>
    <w:rsid w:val="008702F3"/>
    <w:rsid w:val="0087746E"/>
    <w:rsid w:val="00882832"/>
    <w:rsid w:val="00884B3F"/>
    <w:rsid w:val="00885655"/>
    <w:rsid w:val="00885C77"/>
    <w:rsid w:val="00890E4A"/>
    <w:rsid w:val="00891BFE"/>
    <w:rsid w:val="00893A15"/>
    <w:rsid w:val="008A012B"/>
    <w:rsid w:val="008D2263"/>
    <w:rsid w:val="008D4F7F"/>
    <w:rsid w:val="008E51D8"/>
    <w:rsid w:val="008F00F1"/>
    <w:rsid w:val="008F0507"/>
    <w:rsid w:val="008F0A0C"/>
    <w:rsid w:val="008F4649"/>
    <w:rsid w:val="008F5D38"/>
    <w:rsid w:val="00901C70"/>
    <w:rsid w:val="009057EB"/>
    <w:rsid w:val="00913A58"/>
    <w:rsid w:val="00923614"/>
    <w:rsid w:val="00923FF8"/>
    <w:rsid w:val="00925D0A"/>
    <w:rsid w:val="00926808"/>
    <w:rsid w:val="00930298"/>
    <w:rsid w:val="0093133B"/>
    <w:rsid w:val="00934546"/>
    <w:rsid w:val="009358CE"/>
    <w:rsid w:val="00942ED2"/>
    <w:rsid w:val="00954636"/>
    <w:rsid w:val="00955463"/>
    <w:rsid w:val="0095583C"/>
    <w:rsid w:val="009567D8"/>
    <w:rsid w:val="00957E98"/>
    <w:rsid w:val="00961F13"/>
    <w:rsid w:val="009630BC"/>
    <w:rsid w:val="0097374B"/>
    <w:rsid w:val="00982F34"/>
    <w:rsid w:val="00985180"/>
    <w:rsid w:val="0098551A"/>
    <w:rsid w:val="0098592B"/>
    <w:rsid w:val="00994B14"/>
    <w:rsid w:val="009A002E"/>
    <w:rsid w:val="009A0649"/>
    <w:rsid w:val="009A3C6D"/>
    <w:rsid w:val="009A5F8B"/>
    <w:rsid w:val="009A790A"/>
    <w:rsid w:val="009A7AA4"/>
    <w:rsid w:val="009B1459"/>
    <w:rsid w:val="009C3FE8"/>
    <w:rsid w:val="009D0B86"/>
    <w:rsid w:val="009D3BF4"/>
    <w:rsid w:val="009D7737"/>
    <w:rsid w:val="00A01065"/>
    <w:rsid w:val="00A04BD9"/>
    <w:rsid w:val="00A04F3A"/>
    <w:rsid w:val="00A070A9"/>
    <w:rsid w:val="00A264D6"/>
    <w:rsid w:val="00A43545"/>
    <w:rsid w:val="00A43BAE"/>
    <w:rsid w:val="00A51E31"/>
    <w:rsid w:val="00A53442"/>
    <w:rsid w:val="00A57595"/>
    <w:rsid w:val="00A6590D"/>
    <w:rsid w:val="00A81512"/>
    <w:rsid w:val="00A819C7"/>
    <w:rsid w:val="00A85ECB"/>
    <w:rsid w:val="00A86852"/>
    <w:rsid w:val="00A95571"/>
    <w:rsid w:val="00A96867"/>
    <w:rsid w:val="00AA00D1"/>
    <w:rsid w:val="00AA09BF"/>
    <w:rsid w:val="00AA5172"/>
    <w:rsid w:val="00AA63B6"/>
    <w:rsid w:val="00AA7A85"/>
    <w:rsid w:val="00AB19E7"/>
    <w:rsid w:val="00AB7802"/>
    <w:rsid w:val="00AC7A8E"/>
    <w:rsid w:val="00AD0D94"/>
    <w:rsid w:val="00AD4C81"/>
    <w:rsid w:val="00AD5F82"/>
    <w:rsid w:val="00AE2BDE"/>
    <w:rsid w:val="00AE457E"/>
    <w:rsid w:val="00AF1FE7"/>
    <w:rsid w:val="00AF3B8F"/>
    <w:rsid w:val="00B01F1D"/>
    <w:rsid w:val="00B1059B"/>
    <w:rsid w:val="00B13F54"/>
    <w:rsid w:val="00B24953"/>
    <w:rsid w:val="00B26B2C"/>
    <w:rsid w:val="00B3283D"/>
    <w:rsid w:val="00B352F9"/>
    <w:rsid w:val="00B35E8F"/>
    <w:rsid w:val="00B367C5"/>
    <w:rsid w:val="00B553EF"/>
    <w:rsid w:val="00B55B37"/>
    <w:rsid w:val="00B56CA6"/>
    <w:rsid w:val="00B57AB9"/>
    <w:rsid w:val="00B74B00"/>
    <w:rsid w:val="00B86EAA"/>
    <w:rsid w:val="00B94ABD"/>
    <w:rsid w:val="00B96AB0"/>
    <w:rsid w:val="00BB4845"/>
    <w:rsid w:val="00BD02FF"/>
    <w:rsid w:val="00BD1300"/>
    <w:rsid w:val="00BD525D"/>
    <w:rsid w:val="00BD776B"/>
    <w:rsid w:val="00BE01DC"/>
    <w:rsid w:val="00BE5040"/>
    <w:rsid w:val="00BE550B"/>
    <w:rsid w:val="00BE6A8A"/>
    <w:rsid w:val="00BF09ED"/>
    <w:rsid w:val="00BF34CB"/>
    <w:rsid w:val="00C00331"/>
    <w:rsid w:val="00C01DFE"/>
    <w:rsid w:val="00C15D38"/>
    <w:rsid w:val="00C21264"/>
    <w:rsid w:val="00C212CC"/>
    <w:rsid w:val="00C226C9"/>
    <w:rsid w:val="00C23E34"/>
    <w:rsid w:val="00C253DD"/>
    <w:rsid w:val="00C25882"/>
    <w:rsid w:val="00C30CE4"/>
    <w:rsid w:val="00C333F2"/>
    <w:rsid w:val="00C358D7"/>
    <w:rsid w:val="00C40A88"/>
    <w:rsid w:val="00C45045"/>
    <w:rsid w:val="00C532AF"/>
    <w:rsid w:val="00C53B6A"/>
    <w:rsid w:val="00C61709"/>
    <w:rsid w:val="00C63F5F"/>
    <w:rsid w:val="00C73D38"/>
    <w:rsid w:val="00C81DDD"/>
    <w:rsid w:val="00C827B0"/>
    <w:rsid w:val="00C8712D"/>
    <w:rsid w:val="00C943F2"/>
    <w:rsid w:val="00C94967"/>
    <w:rsid w:val="00CA1984"/>
    <w:rsid w:val="00CA2BF7"/>
    <w:rsid w:val="00CA7982"/>
    <w:rsid w:val="00CB397B"/>
    <w:rsid w:val="00CD038C"/>
    <w:rsid w:val="00CD03DC"/>
    <w:rsid w:val="00CE49FC"/>
    <w:rsid w:val="00CF352D"/>
    <w:rsid w:val="00D008C1"/>
    <w:rsid w:val="00D016EA"/>
    <w:rsid w:val="00D10391"/>
    <w:rsid w:val="00D143A8"/>
    <w:rsid w:val="00D14EEA"/>
    <w:rsid w:val="00D2195A"/>
    <w:rsid w:val="00D223A3"/>
    <w:rsid w:val="00D2431E"/>
    <w:rsid w:val="00D24B7F"/>
    <w:rsid w:val="00D30DAA"/>
    <w:rsid w:val="00D32051"/>
    <w:rsid w:val="00D40915"/>
    <w:rsid w:val="00D45DF0"/>
    <w:rsid w:val="00D52CF9"/>
    <w:rsid w:val="00D57D8E"/>
    <w:rsid w:val="00D60414"/>
    <w:rsid w:val="00D7049C"/>
    <w:rsid w:val="00D707BA"/>
    <w:rsid w:val="00D71997"/>
    <w:rsid w:val="00D72D69"/>
    <w:rsid w:val="00D73F9A"/>
    <w:rsid w:val="00D74526"/>
    <w:rsid w:val="00D7507E"/>
    <w:rsid w:val="00D76786"/>
    <w:rsid w:val="00D81178"/>
    <w:rsid w:val="00D8347D"/>
    <w:rsid w:val="00D86311"/>
    <w:rsid w:val="00D86BC6"/>
    <w:rsid w:val="00D932A4"/>
    <w:rsid w:val="00D9486A"/>
    <w:rsid w:val="00D965D3"/>
    <w:rsid w:val="00DB006F"/>
    <w:rsid w:val="00DC45E0"/>
    <w:rsid w:val="00DC4AEF"/>
    <w:rsid w:val="00DC67E6"/>
    <w:rsid w:val="00DD1FCA"/>
    <w:rsid w:val="00DD2871"/>
    <w:rsid w:val="00DD6C18"/>
    <w:rsid w:val="00DD75A2"/>
    <w:rsid w:val="00DE1C56"/>
    <w:rsid w:val="00DE656E"/>
    <w:rsid w:val="00DE6C61"/>
    <w:rsid w:val="00DF13FF"/>
    <w:rsid w:val="00E10367"/>
    <w:rsid w:val="00E11A24"/>
    <w:rsid w:val="00E12B16"/>
    <w:rsid w:val="00E21E1C"/>
    <w:rsid w:val="00E24BDC"/>
    <w:rsid w:val="00E27934"/>
    <w:rsid w:val="00E27DAA"/>
    <w:rsid w:val="00E312C8"/>
    <w:rsid w:val="00E357C9"/>
    <w:rsid w:val="00E36E2A"/>
    <w:rsid w:val="00E3727D"/>
    <w:rsid w:val="00E44741"/>
    <w:rsid w:val="00E47B01"/>
    <w:rsid w:val="00E50383"/>
    <w:rsid w:val="00E51E21"/>
    <w:rsid w:val="00E553CF"/>
    <w:rsid w:val="00E62F9B"/>
    <w:rsid w:val="00E645D0"/>
    <w:rsid w:val="00E6568D"/>
    <w:rsid w:val="00E66700"/>
    <w:rsid w:val="00E70F4D"/>
    <w:rsid w:val="00E81F4B"/>
    <w:rsid w:val="00E86461"/>
    <w:rsid w:val="00E9182E"/>
    <w:rsid w:val="00EA5E58"/>
    <w:rsid w:val="00EB537E"/>
    <w:rsid w:val="00EB6545"/>
    <w:rsid w:val="00EC0B75"/>
    <w:rsid w:val="00EC0F1F"/>
    <w:rsid w:val="00ED07AF"/>
    <w:rsid w:val="00ED32AA"/>
    <w:rsid w:val="00ED33E5"/>
    <w:rsid w:val="00EE3CEB"/>
    <w:rsid w:val="00EE5445"/>
    <w:rsid w:val="00EF1D95"/>
    <w:rsid w:val="00EF1E4A"/>
    <w:rsid w:val="00EF595F"/>
    <w:rsid w:val="00F00F11"/>
    <w:rsid w:val="00F021DB"/>
    <w:rsid w:val="00F026F5"/>
    <w:rsid w:val="00F026F6"/>
    <w:rsid w:val="00F072F3"/>
    <w:rsid w:val="00F10ED6"/>
    <w:rsid w:val="00F12BFC"/>
    <w:rsid w:val="00F172E1"/>
    <w:rsid w:val="00F1775E"/>
    <w:rsid w:val="00F2035E"/>
    <w:rsid w:val="00F26143"/>
    <w:rsid w:val="00F275BD"/>
    <w:rsid w:val="00F34A0F"/>
    <w:rsid w:val="00F373E1"/>
    <w:rsid w:val="00F41680"/>
    <w:rsid w:val="00F42E44"/>
    <w:rsid w:val="00F544CD"/>
    <w:rsid w:val="00F57F60"/>
    <w:rsid w:val="00F736AE"/>
    <w:rsid w:val="00F7498C"/>
    <w:rsid w:val="00F75741"/>
    <w:rsid w:val="00F7763C"/>
    <w:rsid w:val="00F837FE"/>
    <w:rsid w:val="00F87F75"/>
    <w:rsid w:val="00F92FE8"/>
    <w:rsid w:val="00F94039"/>
    <w:rsid w:val="00F9410B"/>
    <w:rsid w:val="00F946CB"/>
    <w:rsid w:val="00FA0A9F"/>
    <w:rsid w:val="00FA36A8"/>
    <w:rsid w:val="00FA50A8"/>
    <w:rsid w:val="00FC0830"/>
    <w:rsid w:val="00FD0495"/>
    <w:rsid w:val="00FD08ED"/>
    <w:rsid w:val="00FD139D"/>
    <w:rsid w:val="00FD266D"/>
    <w:rsid w:val="00FD278F"/>
    <w:rsid w:val="00FD3356"/>
    <w:rsid w:val="00FD6D4F"/>
    <w:rsid w:val="00FD7355"/>
    <w:rsid w:val="00FE1CC5"/>
    <w:rsid w:val="00FE753D"/>
    <w:rsid w:val="21322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280</Words>
  <Characters>1599</Characters>
  <Lines>13</Lines>
  <Paragraphs>3</Paragraphs>
  <TotalTime>3</TotalTime>
  <ScaleCrop>false</ScaleCrop>
  <LinksUpToDate>false</LinksUpToDate>
  <CharactersWithSpaces>1876</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2018-05-22T04:32:00Z</dcterms:created>
  <dc:creator>Sky123.Org</dc:creator>
  <cp:lastModifiedBy>Administrator</cp:lastModifiedBy>
  <cp:lastPrinted>2018-06-21T03:44:45Z</cp:lastPrinted>
  <dcterms:modified xsi:type="dcterms:W3CDTF">2018-06-21T03:44:48Z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