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both"/>
        <w:rPr>
          <w:rFonts w:hint="eastAsia" w:ascii="宋体" w:hAnsi="宋体" w:cs="宋体"/>
          <w:b/>
          <w:color w:val="000000"/>
          <w:kern w:val="0"/>
          <w:sz w:val="44"/>
          <w:szCs w:val="44"/>
        </w:rPr>
      </w:pPr>
      <w:r>
        <w:rPr>
          <w:rFonts w:hint="eastAsia" w:ascii="黑体" w:hAnsi="黑体" w:eastAsia="黑体" w:cs="黑体"/>
          <w:b w:val="0"/>
          <w:bCs/>
          <w:color w:val="000000"/>
          <w:kern w:val="0"/>
          <w:sz w:val="32"/>
          <w:szCs w:val="32"/>
          <w:lang w:eastAsia="zh-CN"/>
        </w:rPr>
        <w:t>附件</w:t>
      </w:r>
      <w:r>
        <w:rPr>
          <w:rFonts w:hint="eastAsia" w:ascii="黑体" w:hAnsi="黑体" w:eastAsia="黑体" w:cs="黑体"/>
          <w:b w:val="0"/>
          <w:bCs/>
          <w:color w:val="000000"/>
          <w:kern w:val="0"/>
          <w:sz w:val="32"/>
          <w:szCs w:val="32"/>
          <w:lang w:val="en-US" w:eastAsia="zh-CN"/>
        </w:rPr>
        <w:t>1</w:t>
      </w:r>
    </w:p>
    <w:p>
      <w:pPr>
        <w:widowControl/>
        <w:shd w:val="clear" w:color="auto" w:fill="FFFFFF"/>
        <w:spacing w:line="360" w:lineRule="auto"/>
        <w:jc w:val="center"/>
        <w:rPr>
          <w:rFonts w:hint="eastAsia" w:ascii="宋体" w:hAnsi="宋体" w:cs="宋体"/>
          <w:b/>
          <w:color w:val="000000"/>
          <w:kern w:val="0"/>
          <w:sz w:val="44"/>
          <w:szCs w:val="44"/>
        </w:rPr>
      </w:pPr>
    </w:p>
    <w:p>
      <w:pPr>
        <w:widowControl/>
        <w:shd w:val="clear" w:color="auto" w:fill="FFFFFF"/>
        <w:spacing w:line="360" w:lineRule="auto"/>
        <w:jc w:val="center"/>
        <w:rPr>
          <w:rFonts w:hint="eastAsia" w:ascii="宋体" w:hAnsi="宋体" w:cs="宋体"/>
          <w:b/>
          <w:color w:val="000000"/>
          <w:kern w:val="0"/>
          <w:sz w:val="44"/>
          <w:szCs w:val="44"/>
        </w:rPr>
      </w:pPr>
      <w:r>
        <w:rPr>
          <w:rFonts w:hint="eastAsia" w:ascii="宋体" w:hAnsi="宋体" w:cs="宋体"/>
          <w:b/>
          <w:color w:val="000000"/>
          <w:kern w:val="0"/>
          <w:sz w:val="44"/>
          <w:szCs w:val="44"/>
        </w:rPr>
        <w:t>中国资产评估协会关于配合最高人民法院建立“人民法院委托资产评估中专业技术 评审人员库”有关事项的通知</w:t>
      </w:r>
    </w:p>
    <w:p>
      <w:pPr>
        <w:adjustRightInd w:val="0"/>
        <w:snapToGrid w:val="0"/>
        <w:spacing w:line="360" w:lineRule="auto"/>
        <w:jc w:val="center"/>
        <w:rPr>
          <w:rFonts w:hint="eastAsia" w:ascii="仿宋" w:hAnsi="仿宋" w:eastAsia="仿宋" w:cs="宋体"/>
          <w:color w:val="000000"/>
          <w:kern w:val="0"/>
          <w:sz w:val="32"/>
          <w:szCs w:val="32"/>
        </w:rPr>
      </w:pPr>
    </w:p>
    <w:p>
      <w:pPr>
        <w:adjustRightInd w:val="0"/>
        <w:snapToGrid w:val="0"/>
        <w:spacing w:line="360" w:lineRule="auto"/>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中评协办〔2019〕083号</w:t>
      </w:r>
    </w:p>
    <w:p>
      <w:pPr>
        <w:widowControl/>
        <w:shd w:val="clear" w:color="auto" w:fill="FFFFFF"/>
        <w:spacing w:line="360" w:lineRule="auto"/>
        <w:rPr>
          <w:rFonts w:hint="eastAsia" w:ascii="仿宋" w:hAnsi="仿宋" w:eastAsia="仿宋" w:cs="宋体"/>
          <w:color w:val="000000"/>
          <w:kern w:val="0"/>
          <w:sz w:val="30"/>
          <w:szCs w:val="30"/>
        </w:rPr>
      </w:pPr>
      <w:bookmarkStart w:id="0" w:name="_GoBack"/>
      <w:bookmarkEnd w:id="0"/>
    </w:p>
    <w:p>
      <w:pPr>
        <w:widowControl/>
        <w:shd w:val="clear" w:color="auto" w:fill="FFFFFF"/>
        <w:spacing w:line="360" w:lineRule="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各省、自治区、直辖市资产评估协会（有关注册会计师协会）：</w:t>
      </w:r>
    </w:p>
    <w:p>
      <w:pPr>
        <w:widowControl/>
        <w:shd w:val="clear" w:color="auto" w:fill="FFFFFF"/>
        <w:spacing w:line="360" w:lineRule="auto"/>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根据最高人民法院关于人民法院确定财产处置参考价对资产评估工作的有关要求，中国资产评估协会（下称中评协）研究决定，由各省、自治区、直辖市资产评估协会（相关注册会计师协会）（下称地方协会）组建“人民法院委托资产评估中专业技术评审人员库”（下称专业技术评审人员库），并负责本地区人民法院委托资产评估中专业技术评审工作。现将组建专业技术评审人员库具体事项通知如下：</w:t>
      </w:r>
    </w:p>
    <w:p>
      <w:pPr>
        <w:widowControl/>
        <w:shd w:val="clear" w:color="auto" w:fill="FFFFFF"/>
        <w:spacing w:line="360" w:lineRule="auto"/>
        <w:ind w:firstLine="600"/>
        <w:rPr>
          <w:rFonts w:ascii="仿宋" w:hAnsi="仿宋" w:eastAsia="仿宋" w:cs="宋体"/>
          <w:b/>
          <w:color w:val="000000"/>
          <w:kern w:val="0"/>
          <w:sz w:val="32"/>
          <w:szCs w:val="32"/>
        </w:rPr>
      </w:pPr>
      <w:r>
        <w:rPr>
          <w:rFonts w:hint="eastAsia" w:ascii="仿宋" w:hAnsi="仿宋" w:eastAsia="仿宋" w:cs="宋体"/>
          <w:b/>
          <w:bCs/>
          <w:color w:val="000000"/>
          <w:kern w:val="0"/>
          <w:sz w:val="32"/>
          <w:szCs w:val="32"/>
        </w:rPr>
        <w:t>一、</w:t>
      </w:r>
      <w:r>
        <w:rPr>
          <w:rFonts w:hint="eastAsia" w:ascii="仿宋" w:hAnsi="仿宋" w:eastAsia="仿宋" w:cs="宋体"/>
          <w:b/>
          <w:color w:val="000000"/>
          <w:kern w:val="0"/>
          <w:sz w:val="32"/>
          <w:szCs w:val="32"/>
        </w:rPr>
        <w:t>专业技术评审人员条件</w:t>
      </w:r>
    </w:p>
    <w:p>
      <w:pPr>
        <w:widowControl/>
        <w:shd w:val="clear" w:color="auto" w:fill="FFFFFF"/>
        <w:spacing w:line="360" w:lineRule="auto"/>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本地区具备以下条件的资产评估专业人员或行业专家可以向地方协会提出入库申请，由地方协会择优选入专业技术评审人员库： </w:t>
      </w:r>
    </w:p>
    <w:p>
      <w:pPr>
        <w:widowControl/>
        <w:shd w:val="clear" w:color="auto" w:fill="FFFFFF"/>
        <w:spacing w:line="360" w:lineRule="auto"/>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1.资产评估专业人员应当具备资产评估师执业资格，具有较高的执业水平和创新能力，所负责的评估业务均未被相关监管部门和资产管理机构发现重大问题；</w:t>
      </w:r>
    </w:p>
    <w:p>
      <w:pPr>
        <w:widowControl/>
        <w:shd w:val="clear" w:color="auto" w:fill="FFFFFF"/>
        <w:spacing w:line="360" w:lineRule="auto"/>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2.行业专家应当在经济社会领域有较高声望，具备较大的行业影响力，在本行业的管理、研究领域有较高造诣；</w:t>
      </w:r>
    </w:p>
    <w:p>
      <w:pPr>
        <w:widowControl/>
        <w:shd w:val="clear" w:color="auto" w:fill="FFFFFF"/>
        <w:spacing w:line="360" w:lineRule="auto"/>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3.具有良好的社会声誉和职业道德；</w:t>
      </w:r>
    </w:p>
    <w:p>
      <w:pPr>
        <w:widowControl/>
        <w:shd w:val="clear" w:color="auto" w:fill="FFFFFF"/>
        <w:spacing w:line="360" w:lineRule="auto"/>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4.遵纪守法、诚实守信，无不良记录。</w:t>
      </w:r>
    </w:p>
    <w:p>
      <w:pPr>
        <w:widowControl/>
        <w:shd w:val="clear" w:color="auto" w:fill="FFFFFF"/>
        <w:spacing w:line="360" w:lineRule="auto"/>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具有下列情形之一的，不得入选专业技术评审人员库：</w:t>
      </w:r>
    </w:p>
    <w:p>
      <w:pPr>
        <w:widowControl/>
        <w:shd w:val="clear" w:color="auto" w:fill="FFFFFF"/>
        <w:spacing w:line="360" w:lineRule="auto"/>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1.评估专业人员连续执业不满五年的；</w:t>
      </w:r>
    </w:p>
    <w:p>
      <w:pPr>
        <w:widowControl/>
        <w:shd w:val="clear" w:color="auto" w:fill="FFFFFF"/>
        <w:spacing w:line="360" w:lineRule="auto"/>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2.行业专家不具备高级职称或从事本行业管理、研究工作不满十年的；</w:t>
      </w:r>
    </w:p>
    <w:p>
      <w:pPr>
        <w:widowControl/>
        <w:shd w:val="clear" w:color="auto" w:fill="FFFFFF"/>
        <w:spacing w:line="360" w:lineRule="auto"/>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3.曾因违反《中华人民共和国资产评估法》被相关行政管理部门予以警告、责令停止从业、没收违法所得，或构成犯罪，被依法追究刑事责任的；</w:t>
      </w:r>
    </w:p>
    <w:p>
      <w:pPr>
        <w:widowControl/>
        <w:shd w:val="clear" w:color="auto" w:fill="FFFFFF"/>
        <w:spacing w:line="360" w:lineRule="auto"/>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4.曾被判处过刑罚的；</w:t>
      </w:r>
    </w:p>
    <w:p>
      <w:pPr>
        <w:widowControl/>
        <w:shd w:val="clear" w:color="auto" w:fill="FFFFFF"/>
        <w:spacing w:line="360" w:lineRule="auto"/>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5.近五年曾因违反所属行业协会自律管理规定，受到过自律惩戒的；</w:t>
      </w:r>
    </w:p>
    <w:p>
      <w:pPr>
        <w:widowControl/>
        <w:shd w:val="clear" w:color="auto" w:fill="FFFFFF"/>
        <w:spacing w:line="360" w:lineRule="auto"/>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6.曾被人民法院依法纳入失信被执行人名单的</w:t>
      </w:r>
      <w:r>
        <w:rPr>
          <w:rFonts w:ascii="仿宋" w:hAnsi="仿宋" w:eastAsia="仿宋" w:cs="宋体"/>
          <w:color w:val="000000"/>
          <w:kern w:val="0"/>
          <w:sz w:val="32"/>
          <w:szCs w:val="32"/>
        </w:rPr>
        <w:t>。</w:t>
      </w:r>
    </w:p>
    <w:p>
      <w:pPr>
        <w:widowControl/>
        <w:shd w:val="clear" w:color="auto" w:fill="FFFFFF"/>
        <w:spacing w:line="360" w:lineRule="auto"/>
        <w:ind w:firstLine="600"/>
        <w:rPr>
          <w:rFonts w:ascii="仿宋" w:hAnsi="仿宋" w:eastAsia="仿宋" w:cs="宋体"/>
          <w:b/>
          <w:color w:val="000000"/>
          <w:kern w:val="0"/>
          <w:sz w:val="32"/>
          <w:szCs w:val="32"/>
        </w:rPr>
      </w:pPr>
      <w:r>
        <w:rPr>
          <w:rFonts w:hint="eastAsia" w:ascii="仿宋" w:hAnsi="仿宋" w:eastAsia="仿宋" w:cs="宋体"/>
          <w:b/>
          <w:bCs/>
          <w:color w:val="000000"/>
          <w:kern w:val="0"/>
          <w:sz w:val="32"/>
          <w:szCs w:val="32"/>
        </w:rPr>
        <w:t>二、有关工作要求</w:t>
      </w:r>
    </w:p>
    <w:p>
      <w:pPr>
        <w:widowControl/>
        <w:shd w:val="clear" w:color="auto" w:fill="FFFFFF"/>
        <w:spacing w:line="360" w:lineRule="auto"/>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请各地方协会认真组织本地区资产评估机构做好人民法院委托资产评估中专业技术评审人员的自愿报名工作，并对报名人员是否符合报名条件进行认真核查，于2019年11月20日前将填写完整的《人民法院委托资产评估中专业技术评审人员库信息汇总表》（见附件）报中评协（含电子版）。</w:t>
      </w:r>
    </w:p>
    <w:p>
      <w:pPr>
        <w:widowControl/>
        <w:shd w:val="clear" w:color="auto" w:fill="FFFFFF"/>
        <w:spacing w:line="360" w:lineRule="auto"/>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联 系 人：韩阳</w:t>
      </w:r>
    </w:p>
    <w:p>
      <w:pPr>
        <w:widowControl/>
        <w:shd w:val="clear" w:color="auto" w:fill="FFFFFF"/>
        <w:spacing w:line="360" w:lineRule="auto"/>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联系电话：010-88339692</w:t>
      </w:r>
    </w:p>
    <w:p>
      <w:pPr>
        <w:widowControl/>
        <w:shd w:val="clear" w:color="auto" w:fill="FFFFFF"/>
        <w:spacing w:line="360" w:lineRule="auto"/>
        <w:rPr>
          <w:rFonts w:hint="eastAsia" w:ascii="宋体" w:hAnsi="宋体" w:cs="宋体"/>
          <w:color w:val="000000"/>
          <w:kern w:val="0"/>
          <w:sz w:val="32"/>
          <w:szCs w:val="32"/>
        </w:rPr>
      </w:pPr>
    </w:p>
    <w:p>
      <w:pPr>
        <w:widowControl/>
        <w:shd w:val="clear" w:color="auto" w:fill="FFFFFF"/>
        <w:spacing w:line="360" w:lineRule="auto"/>
        <w:ind w:firstLine="1600" w:firstLineChars="500"/>
        <w:rPr>
          <w:rFonts w:ascii="仿宋" w:hAnsi="仿宋" w:eastAsia="仿宋" w:cs="宋体"/>
          <w:color w:val="000000"/>
          <w:kern w:val="0"/>
          <w:sz w:val="32"/>
          <w:szCs w:val="32"/>
        </w:rPr>
      </w:pPr>
      <w:r>
        <w:rPr>
          <w:rFonts w:hint="eastAsia" w:ascii="宋体" w:hAnsi="宋体" w:cs="宋体"/>
          <w:color w:val="000000"/>
          <w:kern w:val="0"/>
          <w:sz w:val="32"/>
          <w:szCs w:val="32"/>
        </w:rPr>
        <w:t>  </w:t>
      </w:r>
    </w:p>
    <w:p>
      <w:pPr>
        <w:widowControl/>
        <w:shd w:val="clear" w:color="auto" w:fill="FFFFFF"/>
        <w:spacing w:line="360" w:lineRule="auto"/>
        <w:ind w:firstLine="600"/>
        <w:rPr>
          <w:rFonts w:hint="eastAsia" w:ascii="仿宋" w:hAnsi="仿宋" w:eastAsia="仿宋" w:cs="宋体"/>
          <w:color w:val="000000"/>
          <w:kern w:val="0"/>
          <w:sz w:val="32"/>
          <w:szCs w:val="32"/>
        </w:rPr>
      </w:pPr>
      <w:r>
        <w:rPr>
          <w:rFonts w:hint="eastAsia" w:ascii="宋体" w:hAnsi="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宋体" w:hAnsi="宋体" w:cs="宋体"/>
          <w:color w:val="000000"/>
          <w:kern w:val="0"/>
          <w:sz w:val="32"/>
          <w:szCs w:val="32"/>
        </w:rPr>
        <w:t> </w:t>
      </w:r>
    </w:p>
    <w:p>
      <w:pPr>
        <w:widowControl/>
        <w:shd w:val="clear" w:color="auto" w:fill="FFFFFF"/>
        <w:spacing w:line="360" w:lineRule="auto"/>
        <w:ind w:firstLine="600"/>
        <w:rPr>
          <w:rFonts w:ascii="仿宋" w:hAnsi="仿宋" w:eastAsia="仿宋" w:cs="宋体"/>
          <w:color w:val="000000"/>
          <w:kern w:val="0"/>
          <w:sz w:val="32"/>
          <w:szCs w:val="32"/>
        </w:rPr>
      </w:pPr>
    </w:p>
    <w:p>
      <w:pPr>
        <w:spacing w:line="360" w:lineRule="auto"/>
        <w:ind w:firstLine="5280" w:firstLineChars="1650"/>
      </w:pPr>
      <w:r>
        <w:rPr>
          <w:rFonts w:hint="eastAsia" w:ascii="仿宋" w:hAnsi="仿宋" w:eastAsia="仿宋" w:cs="宋体"/>
          <w:color w:val="000000"/>
          <w:kern w:val="0"/>
          <w:sz w:val="32"/>
          <w:szCs w:val="32"/>
        </w:rPr>
        <w:t xml:space="preserve"> 2019年11月7日   </w:t>
      </w:r>
      <w:r>
        <w:rPr>
          <w:rFonts w:hint="eastAsia" w:ascii="宋体" w:hAnsi="宋体" w:cs="宋体"/>
          <w:color w:val="000000"/>
          <w:kern w:val="0"/>
          <w:sz w:val="32"/>
          <w:szCs w:val="32"/>
        </w:rPr>
        <w:t xml:space="preserve">   </w:t>
      </w:r>
      <w:r>
        <w:rPr>
          <w:rFonts w:hint="eastAsia" w:ascii="宋体" w:hAnsi="宋体" w:cs="宋体"/>
          <w:color w:val="000000"/>
          <w:kern w:val="0"/>
          <w:sz w:val="30"/>
          <w:szCs w:val="30"/>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37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2019-11-08T03:05:18Z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