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820DB" w14:textId="2044B34C" w:rsidR="00CE09DF" w:rsidRDefault="00CE09DF" w:rsidP="00CE09DF">
      <w:pPr>
        <w:spacing w:line="560" w:lineRule="exact"/>
        <w:rPr>
          <w:rFonts w:ascii="黑体" w:eastAsia="黑体" w:hAnsi="黑体"/>
          <w:bCs/>
          <w:sz w:val="32"/>
          <w:szCs w:val="32"/>
        </w:rPr>
      </w:pPr>
      <w:bookmarkStart w:id="0" w:name="_Toc19172"/>
      <w:bookmarkStart w:id="1" w:name="_Toc5057"/>
      <w:bookmarkStart w:id="2" w:name="_Toc30006"/>
      <w:r>
        <w:rPr>
          <w:rFonts w:ascii="黑体" w:eastAsia="黑体" w:hAnsi="黑体" w:hint="eastAsia"/>
          <w:bCs/>
          <w:sz w:val="32"/>
          <w:szCs w:val="32"/>
        </w:rPr>
        <w:t>附件</w:t>
      </w:r>
    </w:p>
    <w:p w14:paraId="4D515151" w14:textId="77777777" w:rsidR="00CE09DF" w:rsidRDefault="00CE09DF" w:rsidP="00CE09DF">
      <w:pPr>
        <w:spacing w:line="700" w:lineRule="exact"/>
        <w:jc w:val="center"/>
        <w:outlineLvl w:val="0"/>
        <w:rPr>
          <w:rFonts w:ascii="方正小标宋简体" w:eastAsia="方正小标宋简体" w:hAnsi="方正小标宋简体" w:cs="Arial"/>
          <w:sz w:val="44"/>
          <w:szCs w:val="44"/>
        </w:rPr>
      </w:pPr>
    </w:p>
    <w:p w14:paraId="43A96F83" w14:textId="162C0976" w:rsidR="00CE09DF" w:rsidRDefault="00CE09DF" w:rsidP="00CE09DF">
      <w:pPr>
        <w:spacing w:line="700" w:lineRule="exact"/>
        <w:jc w:val="center"/>
        <w:outlineLvl w:val="0"/>
        <w:rPr>
          <w:rFonts w:ascii="方正小标宋简体" w:eastAsia="方正小标宋简体" w:hAnsi="方正小标宋简体" w:cs="Arial"/>
          <w:sz w:val="44"/>
          <w:szCs w:val="44"/>
        </w:rPr>
      </w:pPr>
      <w:r>
        <w:rPr>
          <w:rFonts w:ascii="方正小标宋简体" w:eastAsia="方正小标宋简体" w:hAnsi="方正小标宋简体" w:cs="Arial"/>
          <w:sz w:val="44"/>
          <w:szCs w:val="44"/>
        </w:rPr>
        <w:t>资产评估专家指引第15号</w:t>
      </w:r>
      <w:bookmarkStart w:id="3" w:name="_Toc15798"/>
      <w:bookmarkStart w:id="4" w:name="_Toc28964"/>
      <w:bookmarkStart w:id="5" w:name="_Toc7473"/>
      <w:bookmarkEnd w:id="0"/>
      <w:bookmarkEnd w:id="1"/>
      <w:bookmarkEnd w:id="2"/>
      <w:r>
        <w:rPr>
          <w:rFonts w:ascii="方正小标宋简体" w:eastAsia="方正小标宋简体" w:hAnsi="方正小标宋简体" w:cs="Arial"/>
          <w:sz w:val="44"/>
          <w:szCs w:val="44"/>
        </w:rPr>
        <w:t>——知识产权</w:t>
      </w:r>
    </w:p>
    <w:p w14:paraId="5627BB52" w14:textId="1B159555" w:rsidR="00CE09DF" w:rsidRDefault="00CE09DF" w:rsidP="00CE09DF">
      <w:pPr>
        <w:spacing w:line="700" w:lineRule="exact"/>
        <w:jc w:val="center"/>
        <w:outlineLvl w:val="0"/>
        <w:rPr>
          <w:rFonts w:ascii="方正小标宋简体" w:eastAsia="方正小标宋简体" w:hAnsi="方正小标宋简体" w:cs="Arial"/>
          <w:sz w:val="44"/>
          <w:szCs w:val="44"/>
        </w:rPr>
      </w:pPr>
      <w:r>
        <w:rPr>
          <w:rFonts w:ascii="方正小标宋简体" w:eastAsia="方正小标宋简体" w:hAnsi="方正小标宋简体" w:cs="Arial"/>
          <w:sz w:val="44"/>
          <w:szCs w:val="44"/>
        </w:rPr>
        <w:t>侵权损害评</w:t>
      </w:r>
      <w:r w:rsidRPr="00687E91">
        <w:rPr>
          <w:rFonts w:ascii="方正小标宋简体" w:eastAsia="方正小标宋简体" w:hAnsi="方正小标宋简体" w:cs="Arial"/>
          <w:sz w:val="44"/>
          <w:szCs w:val="44"/>
        </w:rPr>
        <w:t>估</w:t>
      </w:r>
      <w:bookmarkEnd w:id="3"/>
      <w:bookmarkEnd w:id="4"/>
      <w:bookmarkEnd w:id="5"/>
    </w:p>
    <w:p w14:paraId="4D4A249C" w14:textId="77777777" w:rsidR="00CE09DF" w:rsidRDefault="00CE09DF" w:rsidP="00CE09DF">
      <w:pPr>
        <w:spacing w:line="700" w:lineRule="exact"/>
        <w:jc w:val="center"/>
        <w:rPr>
          <w:rFonts w:ascii="方正小标宋简体" w:eastAsia="方正小标宋简体" w:hAnsi="方正小标宋简体" w:cs="Arial"/>
          <w:sz w:val="44"/>
          <w:szCs w:val="44"/>
        </w:rPr>
      </w:pPr>
    </w:p>
    <w:p w14:paraId="306B5D2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sz w:val="32"/>
          <w:szCs w:val="32"/>
        </w:rPr>
        <w:t>本专家指引是一种专家建议。</w:t>
      </w:r>
      <w:r>
        <w:rPr>
          <w:rFonts w:ascii="Arial" w:eastAsia="仿宋_GB2312" w:hAnsi="Arial" w:cs="Arial" w:hint="eastAsia"/>
          <w:sz w:val="32"/>
          <w:szCs w:val="32"/>
        </w:rPr>
        <w:t>资产</w:t>
      </w:r>
      <w:r>
        <w:rPr>
          <w:rFonts w:ascii="Arial" w:eastAsia="仿宋_GB2312" w:hAnsi="Arial" w:cs="Arial"/>
          <w:sz w:val="32"/>
          <w:szCs w:val="32"/>
        </w:rPr>
        <w:t>评估机构</w:t>
      </w:r>
      <w:r>
        <w:rPr>
          <w:rFonts w:ascii="Arial" w:eastAsia="仿宋_GB2312" w:hAnsi="Arial" w:cs="Arial" w:hint="eastAsia"/>
          <w:sz w:val="32"/>
          <w:szCs w:val="32"/>
        </w:rPr>
        <w:t>执行人民法院委托的知识产权侵权损害</w:t>
      </w:r>
      <w:r>
        <w:rPr>
          <w:rFonts w:ascii="Arial" w:eastAsia="仿宋_GB2312" w:hAnsi="Arial" w:cs="Arial" w:hint="eastAsia"/>
          <w:color w:val="000000" w:themeColor="text1"/>
          <w:sz w:val="32"/>
          <w:szCs w:val="32"/>
        </w:rPr>
        <w:t>评估业务</w:t>
      </w:r>
      <w:r>
        <w:rPr>
          <w:rFonts w:ascii="Arial" w:eastAsia="仿宋_GB2312" w:hAnsi="Arial" w:cs="Arial"/>
          <w:sz w:val="32"/>
          <w:szCs w:val="32"/>
        </w:rPr>
        <w:t>，</w:t>
      </w:r>
      <w:r>
        <w:rPr>
          <w:rFonts w:ascii="Arial" w:eastAsia="仿宋_GB2312" w:hAnsi="Arial" w:cs="Arial" w:hint="eastAsia"/>
          <w:sz w:val="32"/>
          <w:szCs w:val="32"/>
        </w:rPr>
        <w:t>可以参照本专家指引</w:t>
      </w:r>
      <w:r>
        <w:rPr>
          <w:rFonts w:ascii="Arial" w:eastAsia="仿宋_GB2312" w:hAnsi="Arial" w:cs="Arial"/>
          <w:sz w:val="32"/>
          <w:szCs w:val="32"/>
        </w:rPr>
        <w:t>。中国资产评估协会将根据业务发展，对本专家指引进行更新。</w:t>
      </w:r>
    </w:p>
    <w:p w14:paraId="21E0500C" w14:textId="77777777" w:rsidR="00CE09DF" w:rsidRDefault="00CE09DF" w:rsidP="00CE09DF">
      <w:pPr>
        <w:spacing w:beforeLines="100" w:before="579" w:afterLines="100" w:after="579" w:line="578" w:lineRule="exact"/>
        <w:jc w:val="center"/>
        <w:outlineLvl w:val="1"/>
        <w:rPr>
          <w:rFonts w:ascii="Arial" w:eastAsia="黑体" w:hAnsi="Arial" w:cs="Arial"/>
          <w:sz w:val="32"/>
          <w:szCs w:val="32"/>
        </w:rPr>
      </w:pPr>
      <w:r>
        <w:rPr>
          <w:rFonts w:ascii="Arial" w:eastAsia="黑体" w:hAnsi="Arial" w:cs="Arial" w:hint="eastAsia"/>
          <w:sz w:val="32"/>
          <w:szCs w:val="32"/>
        </w:rPr>
        <w:t>第一章</w:t>
      </w:r>
      <w:r>
        <w:rPr>
          <w:rFonts w:ascii="Arial" w:eastAsia="黑体" w:hAnsi="Arial" w:cs="Arial"/>
          <w:sz w:val="32"/>
          <w:szCs w:val="32"/>
        </w:rPr>
        <w:t xml:space="preserve"> </w:t>
      </w:r>
      <w:r>
        <w:rPr>
          <w:rFonts w:ascii="Arial" w:eastAsia="黑体" w:hAnsi="Arial" w:cs="Arial" w:hint="eastAsia"/>
          <w:sz w:val="32"/>
          <w:szCs w:val="32"/>
        </w:rPr>
        <w:t>引言</w:t>
      </w:r>
    </w:p>
    <w:p w14:paraId="356B9169"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第一条</w:t>
      </w:r>
      <w:r>
        <w:rPr>
          <w:rFonts w:ascii="Arial" w:eastAsia="仿宋_GB2312" w:hAnsi="Arial" w:cs="Arial"/>
          <w:sz w:val="32"/>
          <w:szCs w:val="32"/>
        </w:rPr>
        <w:t xml:space="preserve">  </w:t>
      </w:r>
      <w:r>
        <w:rPr>
          <w:rFonts w:ascii="Arial" w:eastAsia="仿宋_GB2312" w:hAnsi="Arial" w:cs="Arial" w:hint="eastAsia"/>
          <w:sz w:val="32"/>
          <w:szCs w:val="32"/>
        </w:rPr>
        <w:t>为指导资产评估机构及其</w:t>
      </w:r>
      <w:r w:rsidRPr="00F26AFD">
        <w:rPr>
          <w:rFonts w:ascii="Arial" w:eastAsia="仿宋_GB2312" w:hAnsi="Arial" w:cs="Arial" w:hint="eastAsia"/>
          <w:sz w:val="32"/>
          <w:szCs w:val="32"/>
        </w:rPr>
        <w:t>资产评估专业人员</w:t>
      </w:r>
      <w:r>
        <w:rPr>
          <w:rFonts w:ascii="Arial" w:eastAsia="仿宋_GB2312" w:hAnsi="Arial" w:cs="Arial" w:hint="eastAsia"/>
          <w:sz w:val="32"/>
          <w:szCs w:val="32"/>
        </w:rPr>
        <w:t>执行人民法院委托的知识产权侵权损害评估业务，中国资产评估协会组织制定了本专家指引。</w:t>
      </w:r>
    </w:p>
    <w:p w14:paraId="7AB633B2" w14:textId="77777777" w:rsidR="00CE09DF" w:rsidRPr="00747AFA" w:rsidRDefault="00CE09DF" w:rsidP="00CE09DF">
      <w:pPr>
        <w:ind w:firstLineChars="200" w:firstLine="634"/>
      </w:pPr>
      <w:r>
        <w:rPr>
          <w:rFonts w:ascii="Arial" w:eastAsia="仿宋_GB2312" w:hAnsi="Arial" w:cs="Arial" w:hint="eastAsia"/>
          <w:b/>
          <w:bCs/>
          <w:sz w:val="32"/>
          <w:szCs w:val="32"/>
        </w:rPr>
        <w:t>第二条</w:t>
      </w:r>
      <w:r w:rsidRPr="00747AFA">
        <w:rPr>
          <w:rFonts w:ascii="Arial" w:eastAsia="仿宋_GB2312" w:hAnsi="Arial" w:cs="Arial"/>
          <w:b/>
          <w:bCs/>
          <w:sz w:val="32"/>
          <w:szCs w:val="32"/>
        </w:rPr>
        <w:t xml:space="preserve">  </w:t>
      </w:r>
      <w:r w:rsidRPr="00E96100">
        <w:rPr>
          <w:rFonts w:ascii="Arial" w:eastAsia="仿宋_GB2312" w:hAnsi="Arial" w:cs="Arial" w:hint="eastAsia"/>
          <w:sz w:val="32"/>
          <w:szCs w:val="32"/>
        </w:rPr>
        <w:t>本专家指引所称知识产权侵权损害，是指侵权人非法侵害或者使用权利人合法拥有或者获</w:t>
      </w:r>
      <w:r>
        <w:rPr>
          <w:rFonts w:ascii="Arial" w:eastAsia="仿宋_GB2312" w:hAnsi="Arial" w:cs="Arial" w:hint="eastAsia"/>
          <w:sz w:val="32"/>
          <w:szCs w:val="32"/>
        </w:rPr>
        <w:t>得</w:t>
      </w:r>
      <w:r w:rsidRPr="00E96100">
        <w:rPr>
          <w:rFonts w:ascii="Arial" w:eastAsia="仿宋_GB2312" w:hAnsi="Arial" w:cs="Arial" w:hint="eastAsia"/>
          <w:sz w:val="32"/>
          <w:szCs w:val="32"/>
        </w:rPr>
        <w:t>授权使用的知识产权，对权利人造成的</w:t>
      </w:r>
      <w:r w:rsidRPr="00747AFA">
        <w:rPr>
          <w:rFonts w:ascii="Arial" w:eastAsia="仿宋_GB2312" w:hAnsi="Arial" w:cs="Arial" w:hint="eastAsia"/>
          <w:sz w:val="32"/>
          <w:szCs w:val="32"/>
        </w:rPr>
        <w:t>直接经济利益</w:t>
      </w:r>
      <w:r w:rsidRPr="00E96100">
        <w:rPr>
          <w:rFonts w:ascii="Arial" w:eastAsia="仿宋_GB2312" w:hAnsi="Arial" w:cs="Arial" w:hint="eastAsia"/>
          <w:sz w:val="32"/>
          <w:szCs w:val="32"/>
        </w:rPr>
        <w:t>的</w:t>
      </w:r>
      <w:r w:rsidRPr="00E96100">
        <w:rPr>
          <w:rFonts w:ascii="Arial" w:eastAsia="仿宋_GB2312" w:hAnsi="Arial" w:cs="Arial"/>
          <w:sz w:val="32"/>
          <w:szCs w:val="32"/>
        </w:rPr>
        <w:t>损失。</w:t>
      </w:r>
      <w:r w:rsidRPr="00E96100">
        <w:rPr>
          <w:rFonts w:ascii="Arial" w:eastAsia="仿宋_GB2312" w:hAnsi="Arial" w:cs="Arial" w:hint="eastAsia"/>
          <w:sz w:val="32"/>
          <w:szCs w:val="32"/>
        </w:rPr>
        <w:t>其中，知识产权</w:t>
      </w:r>
      <w:r w:rsidRPr="00747AFA">
        <w:rPr>
          <w:rFonts w:ascii="Arial" w:eastAsia="仿宋_GB2312" w:hAnsi="Arial" w:cs="Arial" w:hint="eastAsia"/>
          <w:sz w:val="32"/>
          <w:szCs w:val="32"/>
        </w:rPr>
        <w:t>是权利人依法就</w:t>
      </w:r>
      <w:r w:rsidRPr="00E96100">
        <w:rPr>
          <w:rFonts w:ascii="Arial" w:eastAsia="仿宋_GB2312" w:hAnsi="Arial" w:cs="Arial" w:hint="eastAsia"/>
          <w:sz w:val="32"/>
          <w:szCs w:val="32"/>
        </w:rPr>
        <w:t>作品、专利（发明、实用新型、外观设计）、</w:t>
      </w:r>
      <w:r w:rsidRPr="00E96100">
        <w:rPr>
          <w:rFonts w:ascii="Arial" w:eastAsia="仿宋_GB2312" w:hAnsi="Arial" w:cs="Arial"/>
          <w:sz w:val="32"/>
          <w:szCs w:val="32"/>
        </w:rPr>
        <w:t>商标</w:t>
      </w:r>
      <w:r w:rsidRPr="00E96100">
        <w:rPr>
          <w:rFonts w:ascii="Arial" w:eastAsia="仿宋_GB2312" w:hAnsi="Arial" w:cs="Arial" w:hint="eastAsia"/>
          <w:sz w:val="32"/>
          <w:szCs w:val="32"/>
        </w:rPr>
        <w:t>、</w:t>
      </w:r>
      <w:r w:rsidRPr="00E96100">
        <w:rPr>
          <w:rFonts w:ascii="Arial" w:eastAsia="仿宋_GB2312" w:hAnsi="Arial" w:cs="Arial"/>
          <w:sz w:val="32"/>
          <w:szCs w:val="32"/>
        </w:rPr>
        <w:t>地理标志</w:t>
      </w:r>
      <w:r w:rsidRPr="00E96100">
        <w:rPr>
          <w:rFonts w:ascii="Arial" w:eastAsia="仿宋_GB2312" w:hAnsi="Arial" w:cs="Arial" w:hint="eastAsia"/>
          <w:sz w:val="32"/>
          <w:szCs w:val="32"/>
        </w:rPr>
        <w:t>、商业秘密、</w:t>
      </w:r>
      <w:r w:rsidRPr="00E96100">
        <w:rPr>
          <w:rFonts w:ascii="Arial" w:eastAsia="仿宋_GB2312" w:hAnsi="Arial" w:cs="Arial"/>
          <w:sz w:val="32"/>
          <w:szCs w:val="32"/>
        </w:rPr>
        <w:t>集成电路布图设计</w:t>
      </w:r>
      <w:r w:rsidRPr="00E96100">
        <w:rPr>
          <w:rFonts w:ascii="Arial" w:eastAsia="仿宋_GB2312" w:hAnsi="Arial" w:cs="Arial" w:hint="eastAsia"/>
          <w:sz w:val="32"/>
          <w:szCs w:val="32"/>
        </w:rPr>
        <w:t>、</w:t>
      </w:r>
      <w:r w:rsidRPr="00E96100">
        <w:rPr>
          <w:rFonts w:ascii="Arial" w:eastAsia="仿宋_GB2312" w:hAnsi="Arial" w:cs="Arial"/>
          <w:sz w:val="32"/>
          <w:szCs w:val="32"/>
        </w:rPr>
        <w:t>植物新品种</w:t>
      </w:r>
      <w:r w:rsidRPr="00E96100">
        <w:rPr>
          <w:rFonts w:ascii="Arial" w:eastAsia="仿宋_GB2312" w:hAnsi="Arial" w:cs="Arial" w:hint="eastAsia"/>
          <w:sz w:val="32"/>
          <w:szCs w:val="32"/>
        </w:rPr>
        <w:t>以及法律规定的其他客体享有的专有的权利。</w:t>
      </w:r>
    </w:p>
    <w:p w14:paraId="3AEA299A"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第三条</w:t>
      </w:r>
      <w:r>
        <w:rPr>
          <w:rFonts w:ascii="Arial" w:eastAsia="仿宋_GB2312" w:hAnsi="Arial" w:cs="Arial"/>
          <w:sz w:val="32"/>
          <w:szCs w:val="32"/>
        </w:rPr>
        <w:t xml:space="preserve">  </w:t>
      </w:r>
      <w:r>
        <w:rPr>
          <w:rFonts w:ascii="Arial" w:eastAsia="仿宋_GB2312" w:hAnsi="Arial" w:cs="Arial" w:hint="eastAsia"/>
          <w:sz w:val="32"/>
          <w:szCs w:val="32"/>
        </w:rPr>
        <w:t>本专家指引所称知识产权侵权损害评估，是指资产</w:t>
      </w:r>
      <w:r>
        <w:rPr>
          <w:rFonts w:ascii="Arial" w:eastAsia="仿宋_GB2312" w:hAnsi="Arial" w:cs="Arial" w:hint="eastAsia"/>
          <w:sz w:val="32"/>
          <w:szCs w:val="32"/>
        </w:rPr>
        <w:lastRenderedPageBreak/>
        <w:t>评估机构及其资产评估专业人员遵守法律、行政法规和资产评估准则，根据人民</w:t>
      </w:r>
      <w:r>
        <w:rPr>
          <w:rFonts w:ascii="Arial" w:eastAsia="仿宋_GB2312" w:hAnsi="Arial" w:cs="Arial"/>
          <w:sz w:val="32"/>
          <w:szCs w:val="32"/>
        </w:rPr>
        <w:t>法院委托对知识产权侵权</w:t>
      </w:r>
      <w:r>
        <w:rPr>
          <w:rFonts w:ascii="Arial" w:eastAsia="仿宋_GB2312" w:hAnsi="Arial" w:cs="Arial" w:hint="eastAsia"/>
          <w:sz w:val="32"/>
          <w:szCs w:val="32"/>
        </w:rPr>
        <w:t>案件中权利人实际损失、侵权人获利和权利人损失的合理许可费等进行评定和估算，并出具资产评估报告的专业服务行为。</w:t>
      </w:r>
    </w:p>
    <w:p w14:paraId="444ACF30" w14:textId="77777777" w:rsidR="00CE09DF" w:rsidRDefault="00CE09DF" w:rsidP="00CE09DF">
      <w:pPr>
        <w:spacing w:beforeLines="100" w:before="579" w:afterLines="100" w:after="579" w:line="578" w:lineRule="exact"/>
        <w:jc w:val="center"/>
        <w:outlineLvl w:val="1"/>
        <w:rPr>
          <w:rFonts w:ascii="Arial" w:eastAsia="黑体" w:hAnsi="Arial" w:cs="Arial"/>
          <w:sz w:val="32"/>
          <w:szCs w:val="32"/>
        </w:rPr>
      </w:pPr>
      <w:r>
        <w:rPr>
          <w:rFonts w:ascii="Arial" w:eastAsia="黑体" w:hAnsi="Arial" w:cs="Arial" w:hint="eastAsia"/>
          <w:sz w:val="32"/>
          <w:szCs w:val="32"/>
        </w:rPr>
        <w:t>第二章</w:t>
      </w:r>
      <w:r>
        <w:rPr>
          <w:rFonts w:ascii="Arial" w:eastAsia="黑体" w:hAnsi="Arial" w:cs="Arial"/>
          <w:sz w:val="32"/>
          <w:szCs w:val="32"/>
        </w:rPr>
        <w:t xml:space="preserve"> </w:t>
      </w:r>
      <w:r>
        <w:rPr>
          <w:rFonts w:ascii="Arial" w:eastAsia="黑体" w:hAnsi="Arial" w:cs="Arial" w:hint="eastAsia"/>
          <w:sz w:val="32"/>
          <w:szCs w:val="32"/>
        </w:rPr>
        <w:t>基本遵循</w:t>
      </w:r>
    </w:p>
    <w:p w14:paraId="04FB40E7"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第四条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应当遵守法律、行政法规和资产评估准则的规定，坚持独立、客观、公正的原则，诚实守信，勤勉尽责，谨慎从业，遵守职业道德规范，自觉维护职业形象，不得从事损害职业形象的活动。</w:t>
      </w:r>
    </w:p>
    <w:p w14:paraId="35F596F0"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第五条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执行知识产权侵权损害评估业务，应当独立进行分析和估算并形成专业意见，拒绝委托人或者其他相关当事人的干预，不得直接以预先设定的金额作为评估结论。</w:t>
      </w:r>
    </w:p>
    <w:p w14:paraId="29AC57CB"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第六条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执行知识产权侵权损害评估业务，应当具备知识产权侵权损害评估的专业知识和实践经验，能够胜任所执行的知识产权侵权损害评估业务。</w:t>
      </w:r>
    </w:p>
    <w:p w14:paraId="53B0E215" w14:textId="77777777" w:rsidR="00CE09DF" w:rsidRPr="00747AFA" w:rsidRDefault="00CE09DF" w:rsidP="00CE09DF">
      <w:pPr>
        <w:pStyle w:val="a0"/>
        <w:ind w:firstLine="631"/>
        <w:rPr>
          <w:rFonts w:ascii="Arial" w:eastAsia="仿宋_GB2312" w:hAnsi="Arial" w:cs="Arial"/>
          <w:sz w:val="32"/>
          <w:szCs w:val="32"/>
        </w:rPr>
      </w:pPr>
      <w:r>
        <w:rPr>
          <w:rFonts w:ascii="Arial" w:eastAsia="仿宋_GB2312" w:hAnsi="Arial" w:cs="Arial" w:hint="eastAsia"/>
          <w:sz w:val="32"/>
          <w:szCs w:val="32"/>
        </w:rPr>
        <w:t>（一）应当关注知识产权侵权损害评估业务的复杂性，根据资产评估专业人员配备、专业知识和实践经验，评估程序的可履行程度以及资料的可取得性，审慎考虑是否有能力承接相关业务</w:t>
      </w:r>
      <w:r w:rsidRPr="000630C4">
        <w:rPr>
          <w:rFonts w:ascii="Arial" w:eastAsia="仿宋_GB2312" w:hAnsi="Arial" w:cs="Arial" w:hint="eastAsia"/>
          <w:sz w:val="32"/>
          <w:szCs w:val="32"/>
        </w:rPr>
        <w:t>；</w:t>
      </w:r>
    </w:p>
    <w:p w14:paraId="43DE2994"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（二）执行某项特定业务缺乏特定的专业知识和实践经验时，应当采取弥补措施，包括利用专家工作及相关报告等。</w:t>
      </w:r>
    </w:p>
    <w:p w14:paraId="3CEDE676" w14:textId="77777777" w:rsidR="00CE09DF" w:rsidRDefault="00CE09DF" w:rsidP="00CE09DF">
      <w:pPr>
        <w:spacing w:beforeLines="100" w:before="579" w:afterLines="100" w:after="579" w:line="578" w:lineRule="exact"/>
        <w:jc w:val="center"/>
        <w:outlineLvl w:val="1"/>
        <w:rPr>
          <w:rFonts w:ascii="Arial" w:eastAsia="黑体" w:hAnsi="Arial" w:cs="Arial"/>
          <w:sz w:val="32"/>
          <w:szCs w:val="32"/>
        </w:rPr>
      </w:pPr>
      <w:r>
        <w:rPr>
          <w:rFonts w:ascii="Arial" w:eastAsia="黑体" w:hAnsi="Arial" w:cs="Arial" w:hint="eastAsia"/>
          <w:sz w:val="32"/>
          <w:szCs w:val="32"/>
        </w:rPr>
        <w:lastRenderedPageBreak/>
        <w:t>第三章</w:t>
      </w:r>
      <w:r>
        <w:rPr>
          <w:rFonts w:ascii="Arial" w:eastAsia="黑体" w:hAnsi="Arial" w:cs="Arial"/>
          <w:sz w:val="32"/>
          <w:szCs w:val="32"/>
        </w:rPr>
        <w:t xml:space="preserve"> </w:t>
      </w:r>
      <w:r>
        <w:rPr>
          <w:rFonts w:ascii="Arial" w:eastAsia="黑体" w:hAnsi="Arial" w:cs="Arial" w:hint="eastAsia"/>
          <w:sz w:val="32"/>
          <w:szCs w:val="32"/>
        </w:rPr>
        <w:t>操作要求</w:t>
      </w:r>
    </w:p>
    <w:p w14:paraId="0DAF1297"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第七条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执行知识产权侵权损害评估业务，需要关注评估目的、评估对象、损害行为、损害期间、损害范围等基本事项。</w:t>
      </w:r>
    </w:p>
    <w:p w14:paraId="1068D68B"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第八条</w:t>
      </w:r>
      <w:r>
        <w:rPr>
          <w:rFonts w:ascii="Arial" w:eastAsia="仿宋_GB2312" w:hAnsi="Arial" w:cs="Arial"/>
          <w:sz w:val="32"/>
          <w:szCs w:val="32"/>
        </w:rPr>
        <w:t xml:space="preserve">  </w:t>
      </w:r>
      <w:r>
        <w:rPr>
          <w:rFonts w:ascii="Arial" w:eastAsia="仿宋_GB2312" w:hAnsi="Arial" w:cs="Arial" w:hint="eastAsia"/>
          <w:sz w:val="32"/>
          <w:szCs w:val="32"/>
        </w:rPr>
        <w:t>知识产权侵权损害评估的评估目的是为人民法院解决知识产权纠纷提供专业服务，为侵权损害赔偿金额</w:t>
      </w:r>
      <w:r>
        <w:rPr>
          <w:rFonts w:ascii="Arial" w:eastAsia="仿宋_GB2312" w:hAnsi="Arial" w:cs="Arial"/>
          <w:sz w:val="32"/>
          <w:szCs w:val="32"/>
        </w:rPr>
        <w:t>提供</w:t>
      </w:r>
      <w:r>
        <w:rPr>
          <w:rFonts w:ascii="Arial" w:eastAsia="仿宋_GB2312" w:hAnsi="Arial" w:cs="Arial" w:hint="eastAsia"/>
          <w:sz w:val="32"/>
          <w:szCs w:val="32"/>
        </w:rPr>
        <w:t>参考依据。</w:t>
      </w:r>
    </w:p>
    <w:p w14:paraId="20FB4201"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第九条</w:t>
      </w:r>
      <w:r>
        <w:rPr>
          <w:rFonts w:ascii="Arial" w:eastAsia="仿宋_GB2312" w:hAnsi="Arial" w:cs="Arial"/>
          <w:sz w:val="32"/>
          <w:szCs w:val="32"/>
        </w:rPr>
        <w:t xml:space="preserve">  </w:t>
      </w:r>
      <w:r>
        <w:rPr>
          <w:rFonts w:ascii="Arial" w:eastAsia="仿宋_GB2312" w:hAnsi="Arial" w:cs="Arial" w:hint="eastAsia"/>
          <w:sz w:val="32"/>
          <w:szCs w:val="32"/>
        </w:rPr>
        <w:t>资产评估专业人员需要根据委托事项和评估目的，与委托人协商明确评估对象。知识产权侵权损害评估的评估对象包括权利人实际损失、侵权人获利和权利人损失的合理许可费等。</w:t>
      </w:r>
    </w:p>
    <w:p w14:paraId="621FD9FB"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执行知识产权侵权损害评估业务，需要与委托人和其他相关当事人进行充分沟通，在了解案件基本情况的基础上重点关注损害行为、损害期间和损害范围等。</w:t>
      </w:r>
    </w:p>
    <w:p w14:paraId="7AFA662B"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第十一条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执行知识产权侵权损害评估业务，需要关注涉案知识产权资产的基本情况：</w:t>
      </w:r>
    </w:p>
    <w:p w14:paraId="732E86B7"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（一）知识产权资产权利的法律文件、权属有效性文件或者其他证明资料；</w:t>
      </w:r>
    </w:p>
    <w:p w14:paraId="5AF3078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（二）知识产权资产特征、资产组合情况、使用状况或者实施状态、历史沿革以及以往的评估和交易情况；</w:t>
      </w:r>
    </w:p>
    <w:p w14:paraId="38739E6E"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（三）知识产权资产实施的地域范围、领域范围、获利能力和收益模式；</w:t>
      </w:r>
    </w:p>
    <w:p w14:paraId="4691AF23"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（四）知识产权资产是否能给权利人带来持续的可辨识经济</w:t>
      </w:r>
      <w:r>
        <w:rPr>
          <w:rFonts w:ascii="Arial" w:eastAsia="仿宋_GB2312" w:hAnsi="Arial" w:cs="Arial" w:hint="eastAsia"/>
          <w:sz w:val="32"/>
          <w:szCs w:val="32"/>
        </w:rPr>
        <w:lastRenderedPageBreak/>
        <w:t>利益；</w:t>
      </w:r>
    </w:p>
    <w:p w14:paraId="5DF8AF0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（五）知识产权资产的法定寿命和剩余经济寿命，知识产权资产的保护措施；</w:t>
      </w:r>
    </w:p>
    <w:p w14:paraId="285E725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（六）知识产权资产在实施过程中所受到的法律、行政法规或者其他限制；</w:t>
      </w:r>
    </w:p>
    <w:p w14:paraId="4A541C56"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（七）类似知识产权资产的许可费率及类似知识产权资产市场交易价格信息；</w:t>
      </w:r>
    </w:p>
    <w:p w14:paraId="17CFEEB4"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（八）知识产权资产遭受侵权的起始时间、期限，以及侵权对权利人造成的经济利益损害情况、侵权人非法获利情况等；</w:t>
      </w:r>
    </w:p>
    <w:p w14:paraId="1F05329B"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（九）其他相关信息。</w:t>
      </w:r>
    </w:p>
    <w:p w14:paraId="2573152A" w14:textId="77777777" w:rsidR="00CE09DF" w:rsidRDefault="00CE09DF" w:rsidP="00CE09DF">
      <w:pPr>
        <w:pStyle w:val="a0"/>
        <w:spacing w:line="578" w:lineRule="exact"/>
        <w:ind w:firstLine="634"/>
        <w:rPr>
          <w:rFonts w:ascii="Arial" w:eastAsia="仿宋_GB2312" w:hAnsi="Arial" w:cs="Arial"/>
          <w:sz w:val="32"/>
          <w:szCs w:val="32"/>
        </w:rPr>
      </w:pPr>
      <w:r>
        <w:rPr>
          <w:rFonts w:ascii="Arial" w:eastAsia="仿宋_GB2312" w:hAnsi="Arial" w:cs="Arial" w:hint="eastAsia"/>
          <w:b/>
          <w:bCs/>
          <w:sz w:val="32"/>
          <w:szCs w:val="32"/>
        </w:rPr>
        <w:t>第十二条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资产评估专业人员需要要求委托人和其他相关当事人提供相关资料，委托人和其他相关当事人应当对资料的真实性、完整性、合法性进行确认。资产评估专业人员可以通过市场调查、专家访谈等方式收集知识产权侵权损害评估过程所需的其他资料，必要时可以利用专家工作及相关报告。</w:t>
      </w:r>
    </w:p>
    <w:p w14:paraId="4AFFB038"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第十三条</w:t>
      </w:r>
      <w:r>
        <w:rPr>
          <w:rFonts w:ascii="Arial" w:eastAsia="仿宋_GB2312" w:hAnsi="Arial" w:cs="Arial"/>
          <w:sz w:val="32"/>
          <w:szCs w:val="32"/>
        </w:rPr>
        <w:t xml:space="preserve">  </w:t>
      </w:r>
      <w:r>
        <w:rPr>
          <w:rFonts w:ascii="Arial" w:eastAsia="仿宋_GB2312" w:hAnsi="Arial" w:cs="Arial" w:hint="eastAsia"/>
          <w:sz w:val="32"/>
          <w:szCs w:val="32"/>
        </w:rPr>
        <w:t>执行知识产权侵权损害评估业务，资产评估专业人员通常需要在委托人和其他相关当事人的配合下进行现场调查，保留必要的文字、语音、照片、影像等资料，以书面形式记录调查的时间、地点、过程、结果等，并与委托人和其他相关当事人共同确认。对于委托人或者其他相关当事人不在场或者不予配合的情况，需要详细记录现场情况，收集必要的证据资料，并在资</w:t>
      </w:r>
      <w:r>
        <w:rPr>
          <w:rFonts w:ascii="Arial" w:eastAsia="仿宋_GB2312" w:hAnsi="Arial" w:cs="Arial" w:hint="eastAsia"/>
          <w:sz w:val="32"/>
          <w:szCs w:val="32"/>
        </w:rPr>
        <w:lastRenderedPageBreak/>
        <w:t>产评估报告中予以披露。如果收集的资料不能满足形成评估结论的需要，则不得出具资产评估报告。</w:t>
      </w:r>
    </w:p>
    <w:p w14:paraId="4E182484" w14:textId="77777777" w:rsidR="00CE09DF" w:rsidRDefault="00CE09DF" w:rsidP="00CE09DF">
      <w:pPr>
        <w:spacing w:beforeLines="100" w:before="579" w:afterLines="100" w:after="579" w:line="578" w:lineRule="exact"/>
        <w:jc w:val="center"/>
        <w:outlineLvl w:val="1"/>
        <w:rPr>
          <w:rFonts w:ascii="Arial" w:eastAsia="黑体" w:hAnsi="Arial" w:cs="Arial"/>
          <w:sz w:val="32"/>
          <w:szCs w:val="32"/>
        </w:rPr>
      </w:pPr>
      <w:r>
        <w:rPr>
          <w:rFonts w:ascii="Arial" w:eastAsia="黑体" w:hAnsi="Arial" w:cs="Arial" w:hint="eastAsia"/>
          <w:sz w:val="32"/>
          <w:szCs w:val="32"/>
        </w:rPr>
        <w:t>第四章</w:t>
      </w:r>
      <w:r>
        <w:rPr>
          <w:rFonts w:ascii="Arial" w:eastAsia="黑体" w:hAnsi="Arial" w:cs="Arial"/>
          <w:sz w:val="32"/>
          <w:szCs w:val="32"/>
        </w:rPr>
        <w:t xml:space="preserve"> </w:t>
      </w:r>
      <w:r>
        <w:rPr>
          <w:rFonts w:ascii="Arial" w:eastAsia="黑体" w:hAnsi="Arial" w:cs="Arial" w:hint="eastAsia"/>
          <w:sz w:val="32"/>
          <w:szCs w:val="32"/>
        </w:rPr>
        <w:t>操作方法</w:t>
      </w:r>
    </w:p>
    <w:p w14:paraId="0F3DC36F"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第十四条</w:t>
      </w:r>
      <w:r>
        <w:rPr>
          <w:rFonts w:ascii="Arial" w:eastAsia="仿宋_GB2312" w:hAnsi="Arial" w:cs="Arial"/>
          <w:sz w:val="32"/>
          <w:szCs w:val="32"/>
        </w:rPr>
        <w:t xml:space="preserve">  </w:t>
      </w:r>
      <w:r>
        <w:rPr>
          <w:rFonts w:ascii="Arial" w:eastAsia="仿宋_GB2312" w:hAnsi="Arial" w:cs="Arial" w:hint="eastAsia"/>
          <w:sz w:val="32"/>
          <w:szCs w:val="32"/>
        </w:rPr>
        <w:t>对权利人实际损失进行评估，通常是以权利人在侵权损害期间因被侵权所遭受的损失收益总额确定侵权损害金额，用公式可以表示为：</w:t>
      </w:r>
    </w:p>
    <w:p w14:paraId="4F7F26E1" w14:textId="77777777" w:rsidR="00CE09DF" w:rsidRDefault="00CE09DF" w:rsidP="00CE09DF">
      <w:pPr>
        <w:pStyle w:val="a0"/>
        <w:spacing w:line="578" w:lineRule="exact"/>
        <w:ind w:leftChars="300" w:left="2748" w:hangingChars="675" w:hanging="2131"/>
        <w:rPr>
          <w:rFonts w:ascii="仿宋_GB2312" w:eastAsia="仿宋_GB2312"/>
          <w:sz w:val="32"/>
          <w:szCs w:val="32"/>
        </w:rPr>
      </w:pPr>
      <w:r w:rsidRPr="002F072B">
        <w:rPr>
          <w:rFonts w:ascii="仿宋_GB2312" w:eastAsia="仿宋_GB2312" w:hint="eastAsia"/>
          <w:sz w:val="32"/>
          <w:szCs w:val="32"/>
        </w:rPr>
        <w:t>侵权损害金额</w:t>
      </w:r>
      <m:oMath>
        <m:r>
          <m:rPr>
            <m:sty m:val="p"/>
          </m:rPr>
          <w:rPr>
            <w:rFonts w:ascii="Cambria Math" w:eastAsia="仿宋_GB2312" w:hAnsi="Cambria Math" w:cs="Arial"/>
            <w:sz w:val="32"/>
            <w:szCs w:val="32"/>
          </w:rPr>
          <m:t>=</m:t>
        </m:r>
      </m:oMath>
      <w:r w:rsidRPr="002F072B">
        <w:rPr>
          <w:rFonts w:ascii="仿宋_GB2312" w:eastAsia="仿宋_GB2312" w:hint="eastAsia"/>
          <w:sz w:val="32"/>
          <w:szCs w:val="32"/>
        </w:rPr>
        <w:t>第1年损失收益</w:t>
      </w:r>
      <m:oMath>
        <m:r>
          <m:rPr>
            <m:sty m:val="p"/>
          </m:rPr>
          <w:rPr>
            <w:rFonts w:ascii="Cambria Math" w:eastAsia="仿宋_GB2312" w:hAnsi="Cambria Math" w:cs="Arial" w:hint="eastAsia"/>
            <w:sz w:val="32"/>
            <w:szCs w:val="32"/>
          </w:rPr>
          <m:t>+</m:t>
        </m:r>
      </m:oMath>
      <w:r w:rsidRPr="002F072B">
        <w:rPr>
          <w:rFonts w:ascii="仿宋_GB2312" w:eastAsia="仿宋_GB2312" w:hint="eastAsia"/>
          <w:sz w:val="32"/>
          <w:szCs w:val="32"/>
        </w:rPr>
        <w:t>第2年损失收益</w:t>
      </w:r>
      <m:oMath>
        <m:r>
          <m:rPr>
            <m:sty m:val="p"/>
          </m:rPr>
          <w:rPr>
            <w:rFonts w:ascii="Cambria Math" w:eastAsia="仿宋_GB2312" w:hAnsi="Cambria Math" w:cs="Arial" w:hint="eastAsia"/>
            <w:sz w:val="32"/>
            <w:szCs w:val="32"/>
          </w:rPr>
          <m:t>+</m:t>
        </m:r>
        <m:r>
          <w:rPr>
            <w:rFonts w:ascii="Cambria Math" w:eastAsia="仿宋_GB2312" w:hAnsi="Cambria Math"/>
            <w:sz w:val="32"/>
            <w:szCs w:val="32"/>
          </w:rPr>
          <m:t xml:space="preserve"> </m:t>
        </m:r>
        <m:r>
          <w:rPr>
            <w:rFonts w:ascii="Cambria Math" w:eastAsia="仿宋_GB2312" w:hAnsi="Cambria Math" w:cs="Arial"/>
            <w:sz w:val="32"/>
            <w:szCs w:val="32"/>
          </w:rPr>
          <m:t xml:space="preserve">⋯ </m:t>
        </m:r>
        <m:r>
          <m:rPr>
            <m:sty m:val="p"/>
          </m:rPr>
          <w:rPr>
            <w:rFonts w:ascii="Cambria Math" w:eastAsia="仿宋_GB2312" w:hAnsi="Cambria Math" w:cs="Arial" w:hint="eastAsia"/>
            <w:sz w:val="32"/>
            <w:szCs w:val="32"/>
          </w:rPr>
          <m:t>+</m:t>
        </m:r>
      </m:oMath>
      <w:r>
        <w:rPr>
          <w:rFonts w:ascii="仿宋_GB2312" w:eastAsia="仿宋_GB2312" w:hint="eastAsia"/>
          <w:sz w:val="32"/>
          <w:szCs w:val="32"/>
        </w:rPr>
        <w:t>第n年损失收益</w:t>
      </w:r>
    </w:p>
    <w:p w14:paraId="5C03705C" w14:textId="77777777" w:rsidR="00CE09DF" w:rsidRDefault="00CE09DF" w:rsidP="00CE09DF">
      <w:pPr>
        <w:pStyle w:val="a0"/>
        <w:spacing w:line="578" w:lineRule="exact"/>
        <w:ind w:firstLine="631"/>
        <w:rPr>
          <w:rFonts w:ascii="仿宋_GB2312" w:eastAsia="仿宋_GB2312"/>
          <w:sz w:val="32"/>
          <w:szCs w:val="32"/>
        </w:rPr>
      </w:pPr>
      <w:r>
        <w:rPr>
          <w:rFonts w:ascii="仿宋_GB2312" w:eastAsia="仿宋_GB2312" w:hint="eastAsia"/>
          <w:sz w:val="32"/>
          <w:szCs w:val="32"/>
        </w:rPr>
        <w:t>其中，n为侵权损害发生时点至侵权损害结束时点之间的总期限。资产评估专业人员对权利人实际损失进行评估时，需要结合损害期间等侵权的实际情况，考虑货币时间价值的影响。</w:t>
      </w:r>
    </w:p>
    <w:p w14:paraId="0AFA6579" w14:textId="77777777" w:rsidR="00CE09DF" w:rsidRPr="00747AFA" w:rsidRDefault="00CE09DF" w:rsidP="00CE09DF">
      <w:pPr>
        <w:pStyle w:val="a0"/>
        <w:spacing w:line="578" w:lineRule="exact"/>
        <w:ind w:firstLine="634"/>
        <w:rPr>
          <w:rFonts w:ascii="仿宋_GB2312" w:eastAsia="仿宋_GB2312"/>
          <w:sz w:val="32"/>
          <w:szCs w:val="32"/>
        </w:rPr>
      </w:pPr>
      <w:r w:rsidRPr="00747AFA">
        <w:rPr>
          <w:rFonts w:ascii="仿宋_GB2312" w:eastAsia="仿宋_GB2312" w:hint="eastAsia"/>
          <w:b/>
          <w:bCs/>
          <w:sz w:val="32"/>
          <w:szCs w:val="32"/>
        </w:rPr>
        <w:t>第十五条</w:t>
      </w:r>
      <w:r>
        <w:rPr>
          <w:rFonts w:ascii="Arial" w:eastAsia="仿宋_GB2312" w:hAnsi="Arial" w:cs="Arial"/>
          <w:sz w:val="32"/>
          <w:szCs w:val="32"/>
        </w:rPr>
        <w:t xml:space="preserve">  </w:t>
      </w:r>
      <w:r>
        <w:rPr>
          <w:rFonts w:ascii="Arial" w:eastAsia="仿宋_GB2312" w:hAnsi="Arial" w:cs="Arial" w:hint="eastAsia"/>
          <w:sz w:val="32"/>
          <w:szCs w:val="32"/>
        </w:rPr>
        <w:t>损失收益是指权利人被侵权后的收益水平与未遭受侵权时可获得的收益水平的差额，用公式表示如下：</w:t>
      </w:r>
    </w:p>
    <w:p w14:paraId="43138396" w14:textId="77777777" w:rsidR="00CE09DF" w:rsidRDefault="00CE09DF" w:rsidP="00CE09DF">
      <w:pPr>
        <w:spacing w:line="578" w:lineRule="exact"/>
        <w:ind w:firstLineChars="200" w:firstLine="631"/>
        <w:rPr>
          <w:rFonts w:ascii="Arial" w:eastAsia="仿宋_GB2312" w:hAnsi="Arial" w:cs="Arial"/>
          <w:sz w:val="32"/>
          <w:szCs w:val="32"/>
        </w:rPr>
      </w:pPr>
      <m:oMathPara>
        <m:oMath>
          <m:r>
            <m:rPr>
              <m:sty m:val="p"/>
            </m:rPr>
            <w:rPr>
              <w:rFonts w:ascii="Cambria Math" w:eastAsia="仿宋_GB2312" w:hAnsi="Cambria Math" w:cs="Arial" w:hint="eastAsia"/>
              <w:sz w:val="32"/>
              <w:szCs w:val="32"/>
            </w:rPr>
            <m:t>损失收益</m:t>
          </m:r>
          <m:r>
            <m:rPr>
              <m:sty m:val="p"/>
            </m:rPr>
            <w:rPr>
              <w:rFonts w:ascii="Cambria Math" w:eastAsia="仿宋_GB2312" w:hAnsi="Cambria Math" w:cs="Arial"/>
              <w:sz w:val="32"/>
              <w:szCs w:val="32"/>
            </w:rPr>
            <m:t>=</m:t>
          </m:r>
          <m:r>
            <m:rPr>
              <m:sty m:val="p"/>
            </m:rPr>
            <w:rPr>
              <w:rFonts w:ascii="Cambria Math" w:eastAsia="仿宋_GB2312" w:hAnsi="Cambria Math" w:cs="Arial" w:hint="eastAsia"/>
              <w:sz w:val="32"/>
              <w:szCs w:val="32"/>
            </w:rPr>
            <m:t>未侵权预计收益</m:t>
          </m:r>
          <m:r>
            <m:rPr>
              <m:sty m:val="p"/>
            </m:rPr>
            <w:rPr>
              <w:rFonts w:ascii="Cambria Math" w:eastAsia="微软雅黑" w:hAnsi="Cambria Math" w:cs="Arial"/>
              <w:sz w:val="32"/>
              <w:szCs w:val="32"/>
            </w:rPr>
            <m:t>-</m:t>
          </m:r>
          <m:r>
            <m:rPr>
              <m:sty m:val="p"/>
            </m:rPr>
            <w:rPr>
              <w:rFonts w:ascii="Cambria Math" w:eastAsia="仿宋_GB2312" w:hAnsi="Cambria Math" w:cs="Arial" w:hint="eastAsia"/>
              <w:sz w:val="32"/>
              <w:szCs w:val="32"/>
            </w:rPr>
            <m:t>侵权后实际收益</m:t>
          </m:r>
        </m:oMath>
      </m:oMathPara>
    </w:p>
    <w:p w14:paraId="5EABE6E9"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资产评估专业人员对损失收益的测算要充分考虑侵权行为对权利人产品销量、产品销售价格以及成本费用等方面的影响。</w:t>
      </w:r>
    </w:p>
    <w:p w14:paraId="03C6552F"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第十六条</w:t>
      </w:r>
      <w:r>
        <w:rPr>
          <w:rFonts w:ascii="Arial" w:eastAsia="仿宋_GB2312" w:hAnsi="Arial" w:cs="Arial"/>
          <w:sz w:val="32"/>
          <w:szCs w:val="32"/>
        </w:rPr>
        <w:t xml:space="preserve">  </w:t>
      </w:r>
      <w:r>
        <w:rPr>
          <w:rFonts w:ascii="Arial" w:eastAsia="仿宋_GB2312" w:hAnsi="Arial" w:cs="Arial" w:hint="eastAsia"/>
          <w:sz w:val="32"/>
          <w:szCs w:val="32"/>
        </w:rPr>
        <w:t>侵权对权利人产品销量的影响可以通过替代法、趋势法、比较法等方法对权利人的销量损失进行度量。</w:t>
      </w:r>
    </w:p>
    <w:p w14:paraId="6ABEAC1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替代法是用侵权人销量作为权利人销量损失的一种简便方法，适用于市场上仅有权利人产品与侵权产品两种，二者在功能特性、</w:t>
      </w:r>
      <w:r>
        <w:rPr>
          <w:rFonts w:ascii="Arial" w:eastAsia="仿宋_GB2312" w:hAnsi="Arial" w:cs="Arial" w:hint="eastAsia"/>
          <w:sz w:val="32"/>
          <w:szCs w:val="32"/>
        </w:rPr>
        <w:lastRenderedPageBreak/>
        <w:t>用途和价格等方面没有明显差异，权利人产品销量与侵权产品销量存在较强的此消彼长关系的情形。</w:t>
      </w:r>
    </w:p>
    <w:p w14:paraId="2FDBC04C"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趋势法是以权利人未遭受侵权时的历史销量水平为基础，采用回归或者外推技术预测权利人在未遭受侵权假设前提下的理论销量水平，通过与遭受侵权后的实际销量水平进行比较得到侵权造成的销量损失的一种方法，适用于知识产权产品在遭受侵权之前具有稳定（增长）态势且评估时宏观经济、行业环境等外部系统性因素没有发生重大变化的情形。</w:t>
      </w:r>
    </w:p>
    <w:p w14:paraId="1C6CFF53"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比较法是以与涉案知识产权相近的产品为参照，通过比较权利人知识产权产品在其遭受侵权前后与同类可比对象产品销量差异的变化，反推得到权利人销量损失的一种方法，适用于权利人及可比对象内部经营环境和外部系统性因素均没有发生重大变化的情形。</w:t>
      </w:r>
    </w:p>
    <w:p w14:paraId="1C8BD338"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第十七条</w:t>
      </w:r>
      <w:r>
        <w:rPr>
          <w:rFonts w:ascii="Arial" w:eastAsia="仿宋_GB2312" w:hAnsi="Arial" w:cs="Arial"/>
          <w:sz w:val="32"/>
          <w:szCs w:val="32"/>
        </w:rPr>
        <w:t xml:space="preserve">  </w:t>
      </w:r>
      <w:r>
        <w:rPr>
          <w:rFonts w:ascii="Arial" w:eastAsia="仿宋_GB2312" w:hAnsi="Arial" w:cs="Arial" w:hint="eastAsia"/>
          <w:sz w:val="32"/>
          <w:szCs w:val="32"/>
        </w:rPr>
        <w:t>估算权利人销量损失时，可以通过以下几个方面论证或者检验估算的合理性：</w:t>
      </w:r>
    </w:p>
    <w:p w14:paraId="3B32CA6F"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（一）有适当的证据能够表明知识产权产品在未遭受侵权假设情形下能够实现预计的市场需求，例如：产品历史订单保持稳定增长，产品市场规模不断扩大等；</w:t>
      </w:r>
    </w:p>
    <w:p w14:paraId="268CDBEB"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（二）权利人具有满足其产品市场需求的产出能力、营销能力和融资能力，例如：产品线数量和产能充足，生产人员和营销人员具备足够的专业胜任能力，信用评级良好且能够及时获得所需贷款等；</w:t>
      </w:r>
    </w:p>
    <w:p w14:paraId="04DD86D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lastRenderedPageBreak/>
        <w:t>（三）权利人销量损失实质为侵权行为所致，而非宏观经济、行业环境变化等系统性因素的影响。</w:t>
      </w:r>
    </w:p>
    <w:p w14:paraId="41899521"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第十八条</w:t>
      </w:r>
      <w:r>
        <w:rPr>
          <w:rFonts w:ascii="Arial" w:eastAsia="仿宋_GB2312" w:hAnsi="Arial" w:cs="Arial"/>
          <w:sz w:val="32"/>
          <w:szCs w:val="32"/>
        </w:rPr>
        <w:t xml:space="preserve">  </w:t>
      </w:r>
      <w:r>
        <w:rPr>
          <w:rFonts w:ascii="Arial" w:eastAsia="仿宋_GB2312" w:hAnsi="Arial" w:cs="Arial" w:hint="eastAsia"/>
          <w:sz w:val="32"/>
          <w:szCs w:val="32"/>
        </w:rPr>
        <w:t>侵权对权利人产品销售价格的影响表现为市场上同类产品供给量增加所导致的产品销售价格下降或者产品销售价格无法提升，可以通过市场调研、专家访谈估测权利人产品在未遭受侵权情形下的合理价格水平，但是需要排除宏观经济、市场竞争等外部系统性因素的影响。</w:t>
      </w:r>
    </w:p>
    <w:p w14:paraId="562AFC56"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第十九条</w:t>
      </w:r>
      <w:r>
        <w:rPr>
          <w:rFonts w:ascii="Arial" w:eastAsia="仿宋_GB2312" w:hAnsi="Arial" w:cs="Arial"/>
          <w:sz w:val="32"/>
          <w:szCs w:val="32"/>
        </w:rPr>
        <w:t xml:space="preserve">  </w:t>
      </w:r>
      <w:r>
        <w:rPr>
          <w:rFonts w:ascii="Arial" w:eastAsia="仿宋_GB2312" w:hAnsi="Arial" w:cs="Arial" w:hint="eastAsia"/>
          <w:sz w:val="32"/>
          <w:szCs w:val="32"/>
        </w:rPr>
        <w:t>侵权对权利人成本费用的影响主要是指与产品收益直接相关的涉案知识产权产品营业成本、管理费用、销售费用、研发费用等在侵权前后的变化，可以通过涉案知识产权产品在未遭受侵权时的收益占销售收入的比例或者市场同类或者相似产品的收益占销售收入的比例，推算出权利人在侵权期间未遭受侵权假设情形下的预计成本费用金额。</w:t>
      </w:r>
    </w:p>
    <w:p w14:paraId="4A1F57EB"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第二十条</w:t>
      </w:r>
      <w:r>
        <w:rPr>
          <w:rFonts w:ascii="Arial" w:eastAsia="仿宋_GB2312" w:hAnsi="Arial" w:cs="Arial"/>
          <w:sz w:val="32"/>
          <w:szCs w:val="32"/>
        </w:rPr>
        <w:t xml:space="preserve">  </w:t>
      </w:r>
      <w:r>
        <w:rPr>
          <w:rFonts w:ascii="Arial" w:eastAsia="仿宋_GB2312" w:hAnsi="Arial" w:cs="Arial" w:hint="eastAsia"/>
          <w:sz w:val="32"/>
          <w:szCs w:val="32"/>
        </w:rPr>
        <w:t>对侵权人获利进行评估，通常是以侵权人在侵权损害期间因侵权所获得的利益总额确定侵权损害金额，用公式可以表示为：</w:t>
      </w:r>
    </w:p>
    <w:p w14:paraId="2F7CA2B2" w14:textId="77777777" w:rsidR="00CE09DF" w:rsidRDefault="00CE09DF" w:rsidP="00CE09DF">
      <w:pPr>
        <w:pStyle w:val="a0"/>
        <w:spacing w:line="578" w:lineRule="exact"/>
        <w:ind w:leftChars="300" w:left="2748" w:hangingChars="675" w:hanging="2131"/>
        <w:rPr>
          <w:rFonts w:ascii="仿宋_GB2312" w:eastAsia="仿宋_GB2312"/>
          <w:sz w:val="32"/>
          <w:szCs w:val="32"/>
        </w:rPr>
      </w:pPr>
      <w:r w:rsidRPr="002F072B">
        <w:rPr>
          <w:rFonts w:ascii="仿宋_GB2312" w:eastAsia="仿宋_GB2312" w:hint="eastAsia"/>
          <w:sz w:val="32"/>
          <w:szCs w:val="32"/>
        </w:rPr>
        <w:t>侵权损害金额</w:t>
      </w:r>
      <m:oMath>
        <m:r>
          <m:rPr>
            <m:sty m:val="p"/>
          </m:rPr>
          <w:rPr>
            <w:rFonts w:ascii="Cambria Math" w:eastAsia="仿宋_GB2312" w:hAnsi="Cambria Math" w:cs="Arial"/>
            <w:sz w:val="32"/>
            <w:szCs w:val="32"/>
          </w:rPr>
          <m:t>=</m:t>
        </m:r>
      </m:oMath>
      <w:r w:rsidRPr="002F072B">
        <w:rPr>
          <w:rFonts w:ascii="仿宋_GB2312" w:eastAsia="仿宋_GB2312" w:hint="eastAsia"/>
          <w:sz w:val="32"/>
          <w:szCs w:val="32"/>
        </w:rPr>
        <w:t>第1年</w:t>
      </w:r>
      <w:r w:rsidRPr="00F03F5E">
        <w:rPr>
          <w:rFonts w:ascii="Arial" w:eastAsia="仿宋_GB2312" w:hAnsi="Arial" w:cs="Arial" w:hint="eastAsia"/>
          <w:sz w:val="32"/>
          <w:szCs w:val="32"/>
        </w:rPr>
        <w:t>侵权获利</w:t>
      </w:r>
      <m:oMath>
        <m:r>
          <m:rPr>
            <m:sty m:val="p"/>
          </m:rPr>
          <w:rPr>
            <w:rFonts w:ascii="Cambria Math" w:eastAsia="仿宋_GB2312" w:hAnsi="Cambria Math" w:cs="Arial" w:hint="eastAsia"/>
            <w:sz w:val="32"/>
            <w:szCs w:val="32"/>
          </w:rPr>
          <m:t>+</m:t>
        </m:r>
      </m:oMath>
      <w:r w:rsidRPr="002F072B">
        <w:rPr>
          <w:rFonts w:ascii="仿宋_GB2312" w:eastAsia="仿宋_GB2312" w:hint="eastAsia"/>
          <w:sz w:val="32"/>
          <w:szCs w:val="32"/>
        </w:rPr>
        <w:t>第2年</w:t>
      </w:r>
      <w:r w:rsidRPr="00F03F5E">
        <w:rPr>
          <w:rFonts w:ascii="Arial" w:eastAsia="仿宋_GB2312" w:hAnsi="Arial" w:cs="Arial" w:hint="eastAsia"/>
          <w:sz w:val="32"/>
          <w:szCs w:val="32"/>
        </w:rPr>
        <w:t>侵权获利</w:t>
      </w:r>
      <m:oMath>
        <m:r>
          <m:rPr>
            <m:sty m:val="p"/>
          </m:rPr>
          <w:rPr>
            <w:rFonts w:ascii="Cambria Math" w:eastAsia="仿宋_GB2312" w:hAnsi="Cambria Math" w:cs="Arial" w:hint="eastAsia"/>
            <w:sz w:val="32"/>
            <w:szCs w:val="32"/>
          </w:rPr>
          <m:t>+</m:t>
        </m:r>
        <m:r>
          <w:rPr>
            <w:rFonts w:ascii="Cambria Math" w:eastAsia="仿宋_GB2312" w:hAnsi="Cambria Math"/>
            <w:sz w:val="32"/>
            <w:szCs w:val="32"/>
          </w:rPr>
          <m:t xml:space="preserve"> </m:t>
        </m:r>
        <m:r>
          <w:rPr>
            <w:rFonts w:ascii="Cambria Math" w:eastAsia="仿宋_GB2312" w:hAnsi="Cambria Math" w:cs="Arial"/>
            <w:sz w:val="32"/>
            <w:szCs w:val="32"/>
          </w:rPr>
          <m:t xml:space="preserve">⋯ </m:t>
        </m:r>
        <m:r>
          <m:rPr>
            <m:sty m:val="p"/>
          </m:rPr>
          <w:rPr>
            <w:rFonts w:ascii="Cambria Math" w:eastAsia="仿宋_GB2312" w:hAnsi="Cambria Math" w:cs="Arial" w:hint="eastAsia"/>
            <w:sz w:val="32"/>
            <w:szCs w:val="32"/>
          </w:rPr>
          <m:t>+</m:t>
        </m:r>
      </m:oMath>
      <w:r>
        <w:rPr>
          <w:rFonts w:ascii="仿宋_GB2312" w:eastAsia="仿宋_GB2312" w:hint="eastAsia"/>
          <w:sz w:val="32"/>
          <w:szCs w:val="32"/>
        </w:rPr>
        <w:t>第n年</w:t>
      </w:r>
      <w:r w:rsidRPr="00F03F5E">
        <w:rPr>
          <w:rFonts w:ascii="Arial" w:eastAsia="仿宋_GB2312" w:hAnsi="Arial" w:cs="Arial" w:hint="eastAsia"/>
          <w:sz w:val="32"/>
          <w:szCs w:val="32"/>
        </w:rPr>
        <w:t>侵权获利</w:t>
      </w:r>
    </w:p>
    <w:p w14:paraId="5B7A55B6" w14:textId="77777777" w:rsidR="00CE09DF" w:rsidRDefault="00CE09DF" w:rsidP="00CE09DF">
      <w:pPr>
        <w:pStyle w:val="a0"/>
        <w:spacing w:line="578" w:lineRule="exact"/>
        <w:ind w:firstLine="631"/>
        <w:rPr>
          <w:rFonts w:ascii="仿宋_GB2312" w:eastAsia="仿宋_GB2312"/>
          <w:sz w:val="32"/>
          <w:szCs w:val="32"/>
        </w:rPr>
      </w:pPr>
      <w:r>
        <w:rPr>
          <w:rFonts w:ascii="仿宋_GB2312" w:eastAsia="仿宋_GB2312" w:hint="eastAsia"/>
          <w:sz w:val="32"/>
          <w:szCs w:val="32"/>
        </w:rPr>
        <w:t>其中，n为侵权损害发生时点至侵权损害结束时点之间的总期限。资产评估专业人员对侵权人获利进行评估时，需要结合损害期间等侵权的实际情况，考虑货币时间价值的影响。</w:t>
      </w:r>
    </w:p>
    <w:p w14:paraId="7F371928"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第二十一条</w:t>
      </w:r>
      <w:r>
        <w:rPr>
          <w:rFonts w:ascii="Arial" w:eastAsia="仿宋_GB2312" w:hAnsi="Arial" w:cs="Arial"/>
          <w:sz w:val="32"/>
          <w:szCs w:val="32"/>
        </w:rPr>
        <w:t xml:space="preserve">  </w:t>
      </w:r>
      <w:r>
        <w:rPr>
          <w:rFonts w:ascii="Arial" w:eastAsia="仿宋_GB2312" w:hAnsi="Arial" w:cs="Arial" w:hint="eastAsia"/>
          <w:sz w:val="32"/>
          <w:szCs w:val="32"/>
        </w:rPr>
        <w:t>侵权人从侵权行为中获得的利益可以用侵权</w:t>
      </w:r>
      <w:r>
        <w:rPr>
          <w:rFonts w:ascii="Arial" w:eastAsia="仿宋_GB2312" w:hAnsi="Arial" w:cs="Arial" w:hint="eastAsia"/>
          <w:sz w:val="32"/>
          <w:szCs w:val="32"/>
        </w:rPr>
        <w:lastRenderedPageBreak/>
        <w:t>产品总销量与每件侵权产品的合理利润所得之积计算。根据现有司法解释，侵权人因侵权所获得的利益一般按照侵权人的营业利润计算，对于完全以侵权为业的侵权人，可以按照销售利润计算。对侵权产品单位利润不合理或者无法获取的，经与委托人和其他相关当事人充分沟通，资产评估专业人员可以按照权利人产品单位利润或者行业平均利润水平计算，但是均需要结合侵权人自身产品质量和研发投入等因素，考虑涉案知识产权在侵权人总收益中所贡献的比例。</w:t>
      </w:r>
    </w:p>
    <w:p w14:paraId="7FCCFEE6"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如果侵权人在侵权之前已有相关产品销售，</w:t>
      </w:r>
      <w:r w:rsidRPr="00CA7125">
        <w:rPr>
          <w:rFonts w:ascii="Arial" w:eastAsia="仿宋_GB2312" w:hAnsi="Arial" w:cs="Arial" w:hint="eastAsia"/>
          <w:sz w:val="32"/>
          <w:szCs w:val="32"/>
        </w:rPr>
        <w:t>侵权人从侵权行为中获得的利益即是侵权人在侵权前后的收益变化</w:t>
      </w:r>
      <w:r>
        <w:rPr>
          <w:rFonts w:ascii="Arial" w:eastAsia="仿宋_GB2312" w:hAnsi="Arial" w:cs="Arial" w:hint="eastAsia"/>
          <w:sz w:val="32"/>
          <w:szCs w:val="32"/>
        </w:rPr>
        <w:t>，此时可以参照权利人损失收益的测算，评估分析侵权行为对侵权人产品销量、价格以及成本费用的影响，进而对侵权获利进行测算。</w:t>
      </w:r>
    </w:p>
    <w:p w14:paraId="765BC8FE"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第二十二条</w:t>
      </w:r>
      <w:r>
        <w:rPr>
          <w:rFonts w:ascii="Arial" w:eastAsia="仿宋_GB2312" w:hAnsi="Arial" w:cs="Arial"/>
          <w:sz w:val="32"/>
          <w:szCs w:val="32"/>
        </w:rPr>
        <w:t xml:space="preserve">  </w:t>
      </w:r>
      <w:r>
        <w:rPr>
          <w:rFonts w:ascii="Arial" w:eastAsia="仿宋_GB2312" w:hAnsi="Arial" w:cs="Arial" w:hint="eastAsia"/>
          <w:sz w:val="32"/>
          <w:szCs w:val="32"/>
        </w:rPr>
        <w:t>对权利人损失的合理许可费进行评估，是以知识产权许可费的合理倍数确定侵权损害金额。资产评估专业人员对权利人损失的合理许可费进行评估时，需要重点关注对许可费合理性的判断，确定合理许可费的常用方法是可比参照法。</w:t>
      </w:r>
    </w:p>
    <w:p w14:paraId="3A3AB9D3"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第二十三条</w:t>
      </w:r>
      <w:r>
        <w:rPr>
          <w:rFonts w:ascii="Arial" w:eastAsia="仿宋_GB2312" w:hAnsi="Arial" w:cs="Arial"/>
          <w:sz w:val="32"/>
          <w:szCs w:val="32"/>
        </w:rPr>
        <w:t xml:space="preserve">  </w:t>
      </w:r>
      <w:r>
        <w:rPr>
          <w:rFonts w:ascii="Arial" w:eastAsia="仿宋_GB2312" w:hAnsi="Arial" w:cs="Arial" w:hint="eastAsia"/>
          <w:sz w:val="32"/>
          <w:szCs w:val="32"/>
        </w:rPr>
        <w:t>可比参照法是以可比参照物的许可费确定权利人损失的合理许可费的一种方法。采用可比参照法确定合理许可费有两种途径，一种是参照权利人与他人签订许可使用协议中约定的许可费，另一种是参照同类知识产权的许可费。采取上述途径时，需要对所参照许可费的合理性进行审核认定，通常考虑下列因素：</w:t>
      </w:r>
    </w:p>
    <w:p w14:paraId="79F7AFBC" w14:textId="77777777" w:rsidR="00CE09DF" w:rsidRPr="00747AFA" w:rsidRDefault="00CE09DF" w:rsidP="00CE09DF">
      <w:pPr>
        <w:spacing w:line="578" w:lineRule="exact"/>
        <w:ind w:firstLine="630"/>
        <w:rPr>
          <w:rFonts w:ascii="Arial" w:eastAsia="仿宋_GB2312" w:hAnsi="Arial" w:cs="Arial"/>
          <w:sz w:val="32"/>
          <w:szCs w:val="32"/>
        </w:rPr>
      </w:pPr>
      <w:r w:rsidRPr="00017836">
        <w:rPr>
          <w:rFonts w:ascii="Arial" w:eastAsia="仿宋_GB2312" w:hAnsi="Arial" w:cs="Arial" w:hint="eastAsia"/>
          <w:sz w:val="32"/>
          <w:szCs w:val="32"/>
        </w:rPr>
        <w:lastRenderedPageBreak/>
        <w:t>（一</w:t>
      </w:r>
      <w:r>
        <w:rPr>
          <w:rFonts w:ascii="Arial" w:eastAsia="仿宋_GB2312" w:hAnsi="Arial" w:cs="Arial" w:hint="eastAsia"/>
          <w:sz w:val="32"/>
          <w:szCs w:val="32"/>
        </w:rPr>
        <w:t>）</w:t>
      </w:r>
      <w:r w:rsidRPr="00747AFA">
        <w:rPr>
          <w:rFonts w:ascii="Arial" w:eastAsia="仿宋_GB2312" w:hAnsi="Arial" w:cs="Arial" w:hint="eastAsia"/>
          <w:sz w:val="32"/>
          <w:szCs w:val="32"/>
        </w:rPr>
        <w:t>许可使用费是否实际支付及支付方式，许可使用合同是否实际履行或者备案；</w:t>
      </w:r>
    </w:p>
    <w:p w14:paraId="2E1DC891" w14:textId="77777777" w:rsidR="00CE09DF" w:rsidRDefault="00CE09DF" w:rsidP="00CE09DF">
      <w:pPr>
        <w:spacing w:line="578" w:lineRule="exact"/>
        <w:ind w:firstLine="630"/>
        <w:rPr>
          <w:rFonts w:ascii="Arial" w:eastAsia="仿宋_GB2312" w:hAnsi="Arial" w:cs="Arial"/>
          <w:sz w:val="32"/>
          <w:szCs w:val="32"/>
        </w:rPr>
      </w:pPr>
      <w:r w:rsidRPr="00747AFA">
        <w:rPr>
          <w:rFonts w:ascii="Arial" w:eastAsia="仿宋_GB2312" w:hAnsi="Arial" w:cs="Arial" w:hint="eastAsia"/>
          <w:sz w:val="32"/>
          <w:szCs w:val="32"/>
        </w:rPr>
        <w:t>（二）许可使用的权利内容、方式、范围、期限等关键信息；</w:t>
      </w:r>
    </w:p>
    <w:p w14:paraId="47A43386" w14:textId="77777777" w:rsidR="00CE09DF" w:rsidRDefault="00CE09DF" w:rsidP="00CE09DF">
      <w:pPr>
        <w:spacing w:line="578" w:lineRule="exact"/>
        <w:ind w:firstLine="630"/>
        <w:rPr>
          <w:rFonts w:ascii="Arial" w:eastAsia="仿宋_GB2312" w:hAnsi="Arial" w:cs="Arial"/>
          <w:sz w:val="32"/>
          <w:szCs w:val="32"/>
        </w:rPr>
      </w:pPr>
      <w:r>
        <w:rPr>
          <w:rFonts w:ascii="Arial" w:eastAsia="仿宋_GB2312" w:hAnsi="Arial" w:cs="Arial" w:hint="eastAsia"/>
          <w:sz w:val="32"/>
          <w:szCs w:val="32"/>
        </w:rPr>
        <w:t>（三）</w:t>
      </w:r>
      <w:r w:rsidRPr="00747AFA">
        <w:rPr>
          <w:rFonts w:ascii="Arial" w:eastAsia="仿宋_GB2312" w:hAnsi="Arial" w:cs="Arial" w:hint="eastAsia"/>
          <w:sz w:val="32"/>
          <w:szCs w:val="32"/>
        </w:rPr>
        <w:t>被许可人与许可人是否存在利害关系；</w:t>
      </w:r>
    </w:p>
    <w:p w14:paraId="01597526" w14:textId="77777777" w:rsidR="00CE09DF" w:rsidRDefault="00CE09DF" w:rsidP="00CE09DF">
      <w:pPr>
        <w:spacing w:line="578" w:lineRule="exact"/>
        <w:ind w:firstLine="630"/>
        <w:rPr>
          <w:rFonts w:ascii="Arial" w:eastAsia="仿宋_GB2312" w:hAnsi="Arial" w:cs="Arial"/>
          <w:sz w:val="32"/>
          <w:szCs w:val="32"/>
        </w:rPr>
      </w:pPr>
      <w:r>
        <w:rPr>
          <w:rFonts w:ascii="Arial" w:eastAsia="仿宋_GB2312" w:hAnsi="Arial" w:cs="Arial" w:hint="eastAsia"/>
          <w:sz w:val="32"/>
          <w:szCs w:val="32"/>
        </w:rPr>
        <w:t>（四）</w:t>
      </w:r>
      <w:r w:rsidRPr="00747AFA">
        <w:rPr>
          <w:rFonts w:ascii="Arial" w:eastAsia="仿宋_GB2312" w:hAnsi="Arial" w:cs="Arial" w:hint="eastAsia"/>
          <w:sz w:val="32"/>
          <w:szCs w:val="32"/>
        </w:rPr>
        <w:t>行业许可的通常标准等。</w:t>
      </w:r>
    </w:p>
    <w:p w14:paraId="5FEFE1A2" w14:textId="77777777" w:rsidR="00CE09DF" w:rsidRPr="00747AFA" w:rsidRDefault="00CE09DF" w:rsidP="00CE09DF">
      <w:pPr>
        <w:spacing w:line="578" w:lineRule="exact"/>
        <w:ind w:firstLine="630"/>
        <w:rPr>
          <w:rFonts w:ascii="Arial" w:eastAsia="仿宋_GB2312" w:hAnsi="Arial" w:cs="Arial"/>
          <w:sz w:val="32"/>
          <w:szCs w:val="32"/>
        </w:rPr>
      </w:pPr>
      <w:r w:rsidRPr="00747AFA">
        <w:rPr>
          <w:rFonts w:ascii="Arial" w:eastAsia="仿宋_GB2312" w:hAnsi="Arial" w:cs="Arial" w:hint="eastAsia"/>
          <w:sz w:val="32"/>
          <w:szCs w:val="32"/>
        </w:rPr>
        <w:t>资产评估专业人员需要关注许可使用与侵权使用在时间、地域、领域等方面的差异性，合理确定侵权损害</w:t>
      </w:r>
      <w:r>
        <w:rPr>
          <w:rFonts w:ascii="Arial" w:eastAsia="仿宋_GB2312" w:hAnsi="Arial" w:cs="Arial" w:hint="eastAsia"/>
          <w:sz w:val="32"/>
          <w:szCs w:val="32"/>
        </w:rPr>
        <w:t>金</w:t>
      </w:r>
      <w:r w:rsidRPr="00747AFA">
        <w:rPr>
          <w:rFonts w:ascii="Arial" w:eastAsia="仿宋_GB2312" w:hAnsi="Arial" w:cs="Arial" w:hint="eastAsia"/>
          <w:sz w:val="32"/>
          <w:szCs w:val="32"/>
        </w:rPr>
        <w:t>额。</w:t>
      </w:r>
    </w:p>
    <w:p w14:paraId="10AFF1DA" w14:textId="77777777" w:rsidR="00CE09DF" w:rsidRDefault="00CE09DF" w:rsidP="00CE09DF">
      <w:pPr>
        <w:spacing w:line="578" w:lineRule="exact"/>
        <w:ind w:firstLineChars="200" w:firstLine="634"/>
        <w:rPr>
          <w:rFonts w:ascii="Arial" w:eastAsia="仿宋_GB2312" w:hAnsi="Arial" w:cs="Arial"/>
          <w:b/>
          <w:bCs/>
          <w:sz w:val="32"/>
          <w:szCs w:val="32"/>
        </w:rPr>
      </w:pPr>
      <w:r>
        <w:rPr>
          <w:rFonts w:ascii="Arial" w:eastAsia="仿宋_GB2312" w:hAnsi="Arial" w:cs="Arial" w:hint="eastAsia"/>
          <w:b/>
          <w:bCs/>
          <w:sz w:val="32"/>
          <w:szCs w:val="32"/>
        </w:rPr>
        <w:t>第二十四条</w:t>
      </w:r>
      <w:r>
        <w:rPr>
          <w:rFonts w:ascii="Arial" w:eastAsia="仿宋_GB2312" w:hAnsi="Arial" w:cs="Arial"/>
          <w:b/>
          <w:bCs/>
          <w:sz w:val="32"/>
          <w:szCs w:val="32"/>
        </w:rPr>
        <w:t xml:space="preserve">  </w:t>
      </w:r>
      <w:r>
        <w:rPr>
          <w:rFonts w:ascii="Arial" w:eastAsia="仿宋_GB2312" w:hAnsi="Arial" w:cs="Arial" w:hint="eastAsia"/>
          <w:bCs/>
          <w:sz w:val="32"/>
          <w:szCs w:val="32"/>
        </w:rPr>
        <w:t>如果以许可费率的形式确定合理许可费，需要关注以权利人收入（或者合理利润）为基准和以侵权人收入（或者合理利润）为基准时计算结果的差异性，并在资产评估报告中对所选择的计算方法和原因进行充分说明。</w:t>
      </w:r>
    </w:p>
    <w:p w14:paraId="48DDE9A6" w14:textId="77777777" w:rsidR="00CE09DF" w:rsidRDefault="00CE09DF" w:rsidP="00CE09DF">
      <w:pPr>
        <w:spacing w:beforeLines="100" w:before="579" w:afterLines="100" w:after="579" w:line="578" w:lineRule="exact"/>
        <w:jc w:val="center"/>
        <w:outlineLvl w:val="1"/>
        <w:rPr>
          <w:rFonts w:ascii="Arial" w:eastAsia="黑体" w:hAnsi="Arial" w:cs="Arial"/>
          <w:sz w:val="32"/>
          <w:szCs w:val="32"/>
        </w:rPr>
      </w:pPr>
      <w:r>
        <w:rPr>
          <w:rFonts w:ascii="Arial" w:eastAsia="黑体" w:hAnsi="Arial" w:cs="Arial" w:hint="eastAsia"/>
          <w:sz w:val="32"/>
          <w:szCs w:val="32"/>
        </w:rPr>
        <w:t>第五章</w:t>
      </w:r>
      <w:r>
        <w:rPr>
          <w:rFonts w:ascii="Arial" w:eastAsia="黑体" w:hAnsi="Arial" w:cs="Arial"/>
          <w:sz w:val="32"/>
          <w:szCs w:val="32"/>
        </w:rPr>
        <w:t xml:space="preserve"> </w:t>
      </w:r>
      <w:r>
        <w:rPr>
          <w:rFonts w:ascii="Arial" w:eastAsia="黑体" w:hAnsi="Arial" w:cs="Arial" w:hint="eastAsia"/>
          <w:sz w:val="32"/>
          <w:szCs w:val="32"/>
        </w:rPr>
        <w:t>披露要求</w:t>
      </w:r>
    </w:p>
    <w:p w14:paraId="04595AA7"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第二十五条</w:t>
      </w:r>
      <w:r>
        <w:rPr>
          <w:rFonts w:ascii="Arial" w:eastAsia="仿宋_GB2312" w:hAnsi="Arial" w:cs="Arial"/>
          <w:sz w:val="32"/>
          <w:szCs w:val="32"/>
        </w:rPr>
        <w:t xml:space="preserve">  </w:t>
      </w:r>
      <w:r>
        <w:rPr>
          <w:rFonts w:ascii="Arial" w:eastAsia="仿宋_GB2312" w:hAnsi="Arial" w:cs="Arial" w:hint="eastAsia"/>
          <w:sz w:val="32"/>
          <w:szCs w:val="32"/>
        </w:rPr>
        <w:t>编制知识产权侵权损害资产评估报告，需要披露形成评估结论的相关内容，通常包括：</w:t>
      </w:r>
    </w:p>
    <w:p w14:paraId="72F767DF" w14:textId="77777777" w:rsidR="00CE09DF" w:rsidRDefault="00CE09DF" w:rsidP="00CE09DF">
      <w:pPr>
        <w:spacing w:line="578" w:lineRule="exact"/>
        <w:ind w:firstLine="640"/>
        <w:rPr>
          <w:rFonts w:ascii="Arial" w:eastAsia="仿宋_GB2312" w:hAnsi="Arial" w:cs="Arial"/>
          <w:sz w:val="32"/>
          <w:szCs w:val="32"/>
        </w:rPr>
      </w:pPr>
      <w:r>
        <w:rPr>
          <w:rFonts w:ascii="Arial" w:eastAsia="仿宋_GB2312" w:hAnsi="Arial" w:cs="Arial" w:hint="eastAsia"/>
          <w:sz w:val="32"/>
          <w:szCs w:val="32"/>
        </w:rPr>
        <w:t>（一）涉案知识产权资产及侵权案件的基本信息；</w:t>
      </w:r>
    </w:p>
    <w:p w14:paraId="1858C07D" w14:textId="77777777" w:rsidR="00CE09DF" w:rsidRDefault="00CE09DF" w:rsidP="00CE09DF">
      <w:pPr>
        <w:spacing w:line="578" w:lineRule="exact"/>
        <w:ind w:firstLine="640"/>
        <w:rPr>
          <w:rFonts w:ascii="Arial" w:eastAsia="仿宋_GB2312" w:hAnsi="Arial" w:cs="Arial"/>
          <w:sz w:val="32"/>
          <w:szCs w:val="32"/>
        </w:rPr>
      </w:pPr>
      <w:r>
        <w:rPr>
          <w:rFonts w:ascii="Arial" w:eastAsia="仿宋_GB2312" w:hAnsi="Arial" w:cs="Arial" w:hint="eastAsia"/>
          <w:sz w:val="32"/>
          <w:szCs w:val="32"/>
        </w:rPr>
        <w:t>（二）涉案知识产权资产质押及其他限制情况；</w:t>
      </w:r>
    </w:p>
    <w:p w14:paraId="1FDD333C" w14:textId="77777777" w:rsidR="00CE09DF" w:rsidRDefault="00CE09DF" w:rsidP="00CE09DF">
      <w:pPr>
        <w:spacing w:line="578" w:lineRule="exact"/>
        <w:ind w:firstLine="640"/>
        <w:rPr>
          <w:rFonts w:ascii="Arial" w:eastAsia="仿宋_GB2312" w:hAnsi="Arial" w:cs="Arial"/>
          <w:sz w:val="32"/>
          <w:szCs w:val="32"/>
        </w:rPr>
      </w:pPr>
      <w:r>
        <w:rPr>
          <w:rFonts w:ascii="Arial" w:eastAsia="仿宋_GB2312" w:hAnsi="Arial" w:cs="Arial" w:hint="eastAsia"/>
          <w:sz w:val="32"/>
          <w:szCs w:val="32"/>
        </w:rPr>
        <w:t>（三）委托人和其他相关当事人对侵权损害期间、损害范围的确定过程；</w:t>
      </w:r>
    </w:p>
    <w:p w14:paraId="040344A4"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（四）测算方法、相关参数的选择及其理由；</w:t>
      </w:r>
    </w:p>
    <w:p w14:paraId="0C6CF1C4" w14:textId="77777777" w:rsidR="00CE09DF" w:rsidRDefault="00CE09DF" w:rsidP="00C10EAB">
      <w:pPr>
        <w:overflowPunct w:val="0"/>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（五）评估所用财务数据的来源，以及侵权损害测算的过程；</w:t>
      </w:r>
    </w:p>
    <w:p w14:paraId="4A83A9CB"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lastRenderedPageBreak/>
        <w:t>（六）对测算结果进行分析，形成评估结论的过程；</w:t>
      </w:r>
    </w:p>
    <w:p w14:paraId="3815B66D"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（七）评估结论成立的假设前提和限制条件；</w:t>
      </w:r>
      <w:r>
        <w:rPr>
          <w:rFonts w:ascii="Arial" w:eastAsia="仿宋_GB2312" w:hAnsi="Arial" w:cs="Arial" w:hint="eastAsia"/>
          <w:sz w:val="32"/>
          <w:szCs w:val="32"/>
        </w:rPr>
        <w:t xml:space="preserve"> </w:t>
      </w:r>
    </w:p>
    <w:p w14:paraId="340439BB"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（八）可能影响评估结论的特别事项。</w:t>
      </w:r>
    </w:p>
    <w:p w14:paraId="21279560" w14:textId="77777777" w:rsidR="00CE09DF" w:rsidRDefault="00CE09DF" w:rsidP="00CE09DF">
      <w:pPr>
        <w:spacing w:line="578" w:lineRule="exact"/>
        <w:ind w:firstLineChars="200" w:firstLine="634"/>
        <w:rPr>
          <w:rFonts w:ascii="Arial" w:eastAsia="仿宋_GB2312" w:hAnsi="Arial" w:cs="Arial"/>
          <w:sz w:val="32"/>
          <w:szCs w:val="32"/>
        </w:rPr>
      </w:pPr>
      <w:r>
        <w:rPr>
          <w:rFonts w:ascii="Arial" w:eastAsia="仿宋_GB2312" w:hAnsi="Arial" w:cs="Arial" w:hint="eastAsia"/>
          <w:b/>
          <w:bCs/>
          <w:sz w:val="32"/>
          <w:szCs w:val="32"/>
        </w:rPr>
        <w:t>第二十六条</w:t>
      </w:r>
      <w:r>
        <w:rPr>
          <w:rFonts w:ascii="Arial" w:eastAsia="仿宋_GB2312" w:hAnsi="Arial" w:cs="Arial"/>
          <w:sz w:val="32"/>
          <w:szCs w:val="32"/>
        </w:rPr>
        <w:t xml:space="preserve">  </w:t>
      </w:r>
      <w:r>
        <w:rPr>
          <w:rFonts w:ascii="Arial" w:eastAsia="仿宋_GB2312" w:hAnsi="Arial" w:cs="Arial" w:hint="eastAsia"/>
          <w:sz w:val="32"/>
          <w:szCs w:val="32"/>
        </w:rPr>
        <w:t>编制知识产权侵权损害资产评估报告，需要对以下内容进行重点披露和说明：</w:t>
      </w:r>
    </w:p>
    <w:p w14:paraId="069A4092"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（一）侵权案件双方当事人的相关信息，包括经营历史、现状及对涉案知识产权资产的利用情况；</w:t>
      </w:r>
    </w:p>
    <w:p w14:paraId="66ABD975"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（二）涉案知识产权资产与其他相关经济利益主体的利益分配情况；</w:t>
      </w:r>
    </w:p>
    <w:p w14:paraId="69C25516"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（三）是否进行了现场调查，以及现场调查和资料收集过程中委托人和其他相关当事人的配合情况；</w:t>
      </w:r>
    </w:p>
    <w:p w14:paraId="5F47294C"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（四）评估资料缺失情况和处理方式，以及对评估结论的可能影响；</w:t>
      </w:r>
    </w:p>
    <w:p w14:paraId="48082F9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（五）评估方法选择的理由及原因分析；</w:t>
      </w:r>
    </w:p>
    <w:p w14:paraId="7D1570D0" w14:textId="77777777" w:rsidR="00CE09DF" w:rsidRDefault="00CE09DF" w:rsidP="00CE09DF">
      <w:pPr>
        <w:spacing w:line="578" w:lineRule="exact"/>
        <w:ind w:firstLineChars="200" w:firstLine="631"/>
        <w:rPr>
          <w:rFonts w:ascii="Arial" w:eastAsia="仿宋_GB2312" w:hAnsi="Arial" w:cs="Arial"/>
          <w:sz w:val="32"/>
          <w:szCs w:val="32"/>
        </w:rPr>
      </w:pPr>
      <w:r>
        <w:rPr>
          <w:rFonts w:ascii="Arial" w:eastAsia="仿宋_GB2312" w:hAnsi="Arial" w:cs="Arial" w:hint="eastAsia"/>
          <w:sz w:val="32"/>
          <w:szCs w:val="32"/>
        </w:rPr>
        <w:t>（六）利用专家工作及相关报告的情况；</w:t>
      </w:r>
    </w:p>
    <w:p w14:paraId="3A95E309" w14:textId="77777777" w:rsidR="00CE09DF" w:rsidRDefault="00CE09DF" w:rsidP="00CE09DF">
      <w:pPr>
        <w:pStyle w:val="a0"/>
        <w:spacing w:line="578" w:lineRule="exact"/>
        <w:ind w:firstLine="631"/>
        <w:rPr>
          <w:rFonts w:ascii="Arial" w:eastAsia="仿宋_GB2312" w:hAnsi="Arial" w:cs="Arial"/>
          <w:sz w:val="32"/>
          <w:szCs w:val="32"/>
        </w:rPr>
      </w:pPr>
      <w:r>
        <w:rPr>
          <w:rFonts w:ascii="Arial" w:eastAsia="仿宋_GB2312" w:hAnsi="Arial" w:cs="Arial" w:hint="eastAsia"/>
          <w:sz w:val="32"/>
          <w:szCs w:val="32"/>
        </w:rPr>
        <w:t>（七）其他可能影响正确理解评估结论和资产评估报告使用的事项。</w:t>
      </w:r>
    </w:p>
    <w:p w14:paraId="7C3C23FB" w14:textId="77777777" w:rsidR="009278C8" w:rsidRDefault="009278C8" w:rsidP="00CE09DF">
      <w:pPr>
        <w:pStyle w:val="a0"/>
        <w:spacing w:line="578" w:lineRule="exact"/>
        <w:ind w:firstLine="631"/>
        <w:rPr>
          <w:rFonts w:ascii="Arial" w:eastAsia="仿宋_GB2312" w:hAnsi="Arial" w:cs="Arial"/>
          <w:sz w:val="32"/>
          <w:szCs w:val="32"/>
        </w:rPr>
      </w:pPr>
    </w:p>
    <w:p w14:paraId="7087DE16" w14:textId="77777777" w:rsidR="009278C8" w:rsidRDefault="009278C8" w:rsidP="00CE09DF">
      <w:pPr>
        <w:pStyle w:val="a0"/>
        <w:spacing w:line="578" w:lineRule="exact"/>
        <w:ind w:firstLine="631"/>
        <w:rPr>
          <w:rFonts w:ascii="Arial" w:eastAsia="仿宋_GB2312" w:hAnsi="Arial" w:cs="Arial"/>
          <w:sz w:val="32"/>
          <w:szCs w:val="32"/>
        </w:rPr>
      </w:pPr>
    </w:p>
    <w:p w14:paraId="76522249" w14:textId="77777777" w:rsidR="009278C8" w:rsidRDefault="009278C8" w:rsidP="00CE09DF">
      <w:pPr>
        <w:pStyle w:val="a0"/>
        <w:spacing w:line="578" w:lineRule="exact"/>
        <w:ind w:firstLine="631"/>
        <w:rPr>
          <w:rFonts w:ascii="Arial" w:eastAsia="仿宋_GB2312" w:hAnsi="Arial" w:cs="Arial"/>
          <w:sz w:val="32"/>
          <w:szCs w:val="32"/>
        </w:rPr>
      </w:pPr>
    </w:p>
    <w:p w14:paraId="67EF05EC" w14:textId="77777777" w:rsidR="009278C8" w:rsidRDefault="009278C8" w:rsidP="00CE09DF">
      <w:pPr>
        <w:pStyle w:val="a0"/>
        <w:spacing w:line="578" w:lineRule="exact"/>
        <w:ind w:firstLine="631"/>
        <w:rPr>
          <w:rFonts w:ascii="Arial" w:eastAsia="仿宋_GB2312" w:hAnsi="Arial" w:cs="Arial"/>
          <w:sz w:val="32"/>
          <w:szCs w:val="32"/>
        </w:rPr>
      </w:pPr>
    </w:p>
    <w:p w14:paraId="5A3DDFE4" w14:textId="77777777" w:rsidR="009278C8" w:rsidRPr="009278C8" w:rsidRDefault="009278C8" w:rsidP="009278C8">
      <w:pPr>
        <w:pStyle w:val="a0"/>
        <w:ind w:firstLineChars="0" w:firstLine="0"/>
        <w:rPr>
          <w:rFonts w:hint="eastAsia"/>
        </w:rPr>
      </w:pPr>
    </w:p>
    <w:sectPr w:rsidR="009278C8" w:rsidRPr="009278C8" w:rsidSect="005D22B4">
      <w:headerReference w:type="default" r:id="rId9"/>
      <w:footerReference w:type="even" r:id="rId10"/>
      <w:footerReference w:type="default" r:id="rId11"/>
      <w:pgSz w:w="11906" w:h="16838" w:code="9"/>
      <w:pgMar w:top="2098" w:right="1474" w:bottom="1985" w:left="1588" w:header="851" w:footer="1417" w:gutter="0"/>
      <w:cols w:space="425"/>
      <w:docGrid w:type="linesAndChars" w:linePitch="579"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BD44F" w14:textId="77777777" w:rsidR="00F56CB2" w:rsidRDefault="00F56CB2">
      <w:r>
        <w:separator/>
      </w:r>
    </w:p>
  </w:endnote>
  <w:endnote w:type="continuationSeparator" w:id="0">
    <w:p w14:paraId="72E776E3" w14:textId="77777777" w:rsidR="00F56CB2" w:rsidRDefault="00F5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192D521E-20EC-4949-AFA2-10BF51540839}"/>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panose1 w:val="02010601030101010101"/>
    <w:charset w:val="86"/>
    <w:family w:val="script"/>
    <w:pitch w:val="fixed"/>
    <w:sig w:usb0="00000001" w:usb1="080E0000" w:usb2="00000010" w:usb3="00000000" w:csb0="00040000" w:csb1="00000000"/>
    <w:embedRegular r:id="rId2" w:subsetted="1" w:fontKey="{5231C38A-0C31-4FBC-9039-968C941ED4F0}"/>
  </w:font>
  <w:font w:name="仿宋_GB2312">
    <w:panose1 w:val="02010609030101010101"/>
    <w:charset w:val="86"/>
    <w:family w:val="modern"/>
    <w:pitch w:val="fixed"/>
    <w:sig w:usb0="00000001" w:usb1="080E0000" w:usb2="00000010" w:usb3="00000000" w:csb0="00040000" w:csb1="00000000"/>
    <w:embedRegular r:id="rId3" w:subsetted="1" w:fontKey="{38C2D3D2-4475-45F2-92FA-6B8998198E43}"/>
    <w:embedBold r:id="rId4" w:subsetted="1" w:fontKey="{03B2DC93-776E-46C7-9320-E2492FFC7EAB}"/>
  </w:font>
  <w:font w:name="Cambria Math">
    <w:panose1 w:val="02040503050406030204"/>
    <w:charset w:val="00"/>
    <w:family w:val="roman"/>
    <w:pitch w:val="variable"/>
    <w:sig w:usb0="E00006FF" w:usb1="420024FF" w:usb2="02000000" w:usb3="00000000" w:csb0="0000019F" w:csb1="00000000"/>
    <w:embedRegular r:id="rId5" w:fontKey="{E00E9F24-5859-45A5-954B-29A2685D19E7}"/>
    <w:embedItalic r:id="rId6" w:fontKey="{245757DD-C1B1-48BD-9DF2-B6E527C6F74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002D" w14:textId="2651E9F8" w:rsidR="00936653" w:rsidRPr="004760B1" w:rsidRDefault="00833664" w:rsidP="00833664">
    <w:pPr>
      <w:pStyle w:val="a8"/>
      <w:rPr>
        <w:rFonts w:ascii="宋体" w:hAnsi="宋体"/>
        <w:sz w:val="28"/>
        <w:szCs w:val="28"/>
      </w:rPr>
    </w:pPr>
    <w:r w:rsidRPr="006636EC">
      <w:rPr>
        <w:rFonts w:ascii="宋体" w:hAnsi="宋体" w:hint="eastAsia"/>
        <w:sz w:val="32"/>
        <w:szCs w:val="32"/>
      </w:rPr>
      <w:t xml:space="preserve">　</w:t>
    </w:r>
    <w:r w:rsidR="004760B1">
      <w:rPr>
        <w:rFonts w:ascii="宋体" w:hAnsi="宋体" w:cs="宋体" w:hint="eastAsia"/>
        <w:sz w:val="28"/>
        <w:szCs w:val="28"/>
      </w:rPr>
      <w:t>—</w:t>
    </w:r>
    <w:r w:rsidR="004760B1">
      <w:rPr>
        <w:rFonts w:ascii="宋体" w:hAnsi="宋体" w:cs="宋体"/>
        <w:sz w:val="28"/>
        <w:szCs w:val="28"/>
      </w:rPr>
      <w:t xml:space="preserve"> </w:t>
    </w:r>
    <w:sdt>
      <w:sdtPr>
        <w:id w:val="1197894799"/>
        <w:docPartObj>
          <w:docPartGallery w:val="Page Numbers (Bottom of Page)"/>
          <w:docPartUnique/>
        </w:docPartObj>
      </w:sdtPr>
      <w:sdtEndPr>
        <w:rPr>
          <w:rFonts w:ascii="宋体" w:hAnsi="宋体"/>
          <w:sz w:val="28"/>
          <w:szCs w:val="28"/>
        </w:rPr>
      </w:sdtEndPr>
      <w:sdtContent>
        <w:r w:rsidR="004760B1" w:rsidRPr="004760B1">
          <w:rPr>
            <w:rFonts w:ascii="宋体" w:hAnsi="宋体"/>
            <w:sz w:val="28"/>
            <w:szCs w:val="28"/>
          </w:rPr>
          <w:fldChar w:fldCharType="begin"/>
        </w:r>
        <w:r w:rsidR="004760B1" w:rsidRPr="004760B1">
          <w:rPr>
            <w:rFonts w:ascii="宋体" w:hAnsi="宋体"/>
            <w:sz w:val="28"/>
            <w:szCs w:val="28"/>
          </w:rPr>
          <w:instrText>PAGE   \* MERGEFORMAT</w:instrText>
        </w:r>
        <w:r w:rsidR="004760B1" w:rsidRPr="004760B1">
          <w:rPr>
            <w:rFonts w:ascii="宋体" w:hAnsi="宋体"/>
            <w:sz w:val="28"/>
            <w:szCs w:val="28"/>
          </w:rPr>
          <w:fldChar w:fldCharType="separate"/>
        </w:r>
        <w:r w:rsidR="00540F0E" w:rsidRPr="00540F0E">
          <w:rPr>
            <w:rFonts w:ascii="宋体" w:hAnsi="宋体"/>
            <w:noProof/>
            <w:sz w:val="28"/>
            <w:szCs w:val="28"/>
            <w:lang w:val="zh-CN"/>
          </w:rPr>
          <w:t>22</w:t>
        </w:r>
        <w:r w:rsidR="004760B1" w:rsidRPr="004760B1">
          <w:rPr>
            <w:rFonts w:ascii="宋体" w:hAnsi="宋体"/>
            <w:sz w:val="28"/>
            <w:szCs w:val="28"/>
          </w:rPr>
          <w:fldChar w:fldCharType="end"/>
        </w:r>
        <w:r w:rsidR="004760B1">
          <w:rPr>
            <w:rFonts w:ascii="宋体" w:hAnsi="宋体"/>
            <w:sz w:val="28"/>
            <w:szCs w:val="28"/>
          </w:rPr>
          <w:t xml:space="preserve"> </w:t>
        </w:r>
        <w:r w:rsidR="004760B1">
          <w:rPr>
            <w:rFonts w:ascii="宋体" w:hAnsi="宋体" w:cs="宋体" w:hint="eastAsia"/>
            <w:sz w:val="28"/>
            <w:szCs w:val="28"/>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5FDA" w14:textId="015EC7BA" w:rsidR="00936653" w:rsidRDefault="004760B1" w:rsidP="004760B1">
    <w:pPr>
      <w:pStyle w:val="a8"/>
      <w:wordWrap w:val="0"/>
      <w:jc w:val="right"/>
    </w:pPr>
    <w:r>
      <w:rPr>
        <w:rFonts w:ascii="宋体" w:hAnsi="宋体" w:cs="宋体" w:hint="eastAsia"/>
        <w:sz w:val="28"/>
        <w:szCs w:val="28"/>
      </w:rPr>
      <w:t xml:space="preserve">— </w:t>
    </w:r>
    <w:sdt>
      <w:sdtPr>
        <w:id w:val="13665435"/>
        <w:docPartObj>
          <w:docPartGallery w:val="Page Numbers (Bottom of Page)"/>
          <w:docPartUnique/>
        </w:docPartObj>
      </w:sdtPr>
      <w:sdtEndPr>
        <w:rPr>
          <w:sz w:val="32"/>
        </w:rPr>
      </w:sdtEndPr>
      <w:sdtContent>
        <w:r w:rsidRPr="004760B1">
          <w:rPr>
            <w:rFonts w:ascii="宋体" w:hAnsi="宋体"/>
            <w:sz w:val="28"/>
            <w:szCs w:val="28"/>
          </w:rPr>
          <w:fldChar w:fldCharType="begin"/>
        </w:r>
        <w:r w:rsidRPr="004760B1">
          <w:rPr>
            <w:rFonts w:ascii="宋体" w:hAnsi="宋体"/>
            <w:sz w:val="28"/>
            <w:szCs w:val="28"/>
          </w:rPr>
          <w:instrText>PAGE   \* MERGEFORMAT</w:instrText>
        </w:r>
        <w:r w:rsidRPr="004760B1">
          <w:rPr>
            <w:rFonts w:ascii="宋体" w:hAnsi="宋体"/>
            <w:sz w:val="28"/>
            <w:szCs w:val="28"/>
          </w:rPr>
          <w:fldChar w:fldCharType="separate"/>
        </w:r>
        <w:r w:rsidR="00540F0E" w:rsidRPr="00540F0E">
          <w:rPr>
            <w:rFonts w:ascii="宋体" w:hAnsi="宋体"/>
            <w:noProof/>
            <w:sz w:val="28"/>
            <w:szCs w:val="28"/>
            <w:lang w:val="zh-CN"/>
          </w:rPr>
          <w:t>21</w:t>
        </w:r>
        <w:r w:rsidRPr="004760B1">
          <w:rPr>
            <w:rFonts w:ascii="宋体" w:hAnsi="宋体"/>
            <w:sz w:val="28"/>
            <w:szCs w:val="28"/>
          </w:rPr>
          <w:fldChar w:fldCharType="end"/>
        </w:r>
        <w:r>
          <w:rPr>
            <w:rFonts w:ascii="宋体" w:hAnsi="宋体"/>
            <w:sz w:val="28"/>
            <w:szCs w:val="28"/>
          </w:rPr>
          <w:t xml:space="preserve"> </w:t>
        </w:r>
        <w:r>
          <w:rPr>
            <w:rFonts w:ascii="宋体" w:hAnsi="宋体" w:cs="宋体" w:hint="eastAsia"/>
            <w:sz w:val="28"/>
            <w:szCs w:val="28"/>
          </w:rPr>
          <w:t>—</w:t>
        </w:r>
        <w:r w:rsidR="00833664" w:rsidRPr="006636EC">
          <w:rPr>
            <w:rFonts w:ascii="宋体" w:hAnsi="宋体" w:hint="eastAsia"/>
            <w:sz w:val="32"/>
            <w:szCs w:val="32"/>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271AD" w14:textId="77777777" w:rsidR="00F56CB2" w:rsidRDefault="00F56CB2">
      <w:r>
        <w:separator/>
      </w:r>
    </w:p>
  </w:footnote>
  <w:footnote w:type="continuationSeparator" w:id="0">
    <w:p w14:paraId="6C1287AE" w14:textId="77777777" w:rsidR="00F56CB2" w:rsidRDefault="00F56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6E9B" w14:textId="77777777" w:rsidR="00936653" w:rsidRDefault="00936653">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ED9"/>
    <w:multiLevelType w:val="hybridMultilevel"/>
    <w:tmpl w:val="25DE3AD8"/>
    <w:lvl w:ilvl="0" w:tplc="6D0C00B2">
      <w:start w:val="1"/>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100682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trackRevisions/>
  <w:defaultTabStop w:val="420"/>
  <w:evenAndOddHeaders/>
  <w:drawingGridHorizontalSpacing w:val="103"/>
  <w:drawingGridVerticalSpacing w:val="579"/>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I5ODhkNDVmYzFiODg5ODczNmNiYWQ0NTRhOTY1NGQifQ=="/>
  </w:docVars>
  <w:rsids>
    <w:rsidRoot w:val="009A5D9A"/>
    <w:rsid w:val="892FD68A"/>
    <w:rsid w:val="8FF2A62C"/>
    <w:rsid w:val="9A3BA18A"/>
    <w:rsid w:val="9D32B969"/>
    <w:rsid w:val="ACF6FE3A"/>
    <w:rsid w:val="AFFFB2D7"/>
    <w:rsid w:val="BAEBFD73"/>
    <w:rsid w:val="BB6FEF6C"/>
    <w:rsid w:val="BBBEEEB8"/>
    <w:rsid w:val="BEFDA3FF"/>
    <w:rsid w:val="BF365C7F"/>
    <w:rsid w:val="BFAFD026"/>
    <w:rsid w:val="CDBC65BC"/>
    <w:rsid w:val="D17D648E"/>
    <w:rsid w:val="D7FD4500"/>
    <w:rsid w:val="D8FF2C56"/>
    <w:rsid w:val="D96F95A8"/>
    <w:rsid w:val="DFEB52E7"/>
    <w:rsid w:val="DFEE4D8E"/>
    <w:rsid w:val="E1FDE912"/>
    <w:rsid w:val="E6777D1F"/>
    <w:rsid w:val="EB4F4DE7"/>
    <w:rsid w:val="EED91998"/>
    <w:rsid w:val="EF720321"/>
    <w:rsid w:val="EF7BD9E3"/>
    <w:rsid w:val="EFDD3E1B"/>
    <w:rsid w:val="F1772A31"/>
    <w:rsid w:val="F39DB082"/>
    <w:rsid w:val="F46B19BE"/>
    <w:rsid w:val="F7779D95"/>
    <w:rsid w:val="F7D6DFBC"/>
    <w:rsid w:val="F7FF731C"/>
    <w:rsid w:val="F97CB3D8"/>
    <w:rsid w:val="FDBE4E32"/>
    <w:rsid w:val="FDDF5A45"/>
    <w:rsid w:val="FDEB4438"/>
    <w:rsid w:val="FE9FF07D"/>
    <w:rsid w:val="FEEE0398"/>
    <w:rsid w:val="FEFFA483"/>
    <w:rsid w:val="FF57F6E3"/>
    <w:rsid w:val="FFAD0809"/>
    <w:rsid w:val="FFAEB451"/>
    <w:rsid w:val="FFCE3D1F"/>
    <w:rsid w:val="FFCF4E77"/>
    <w:rsid w:val="000002CE"/>
    <w:rsid w:val="000029D7"/>
    <w:rsid w:val="0000440A"/>
    <w:rsid w:val="00007385"/>
    <w:rsid w:val="00010084"/>
    <w:rsid w:val="00011C04"/>
    <w:rsid w:val="00020168"/>
    <w:rsid w:val="00021072"/>
    <w:rsid w:val="00030B6C"/>
    <w:rsid w:val="00034CEC"/>
    <w:rsid w:val="00044252"/>
    <w:rsid w:val="00053256"/>
    <w:rsid w:val="00053B99"/>
    <w:rsid w:val="00055C87"/>
    <w:rsid w:val="000611F4"/>
    <w:rsid w:val="00061E58"/>
    <w:rsid w:val="00077490"/>
    <w:rsid w:val="00083DDC"/>
    <w:rsid w:val="00090C2E"/>
    <w:rsid w:val="00093FD3"/>
    <w:rsid w:val="000956DF"/>
    <w:rsid w:val="00097910"/>
    <w:rsid w:val="00097B80"/>
    <w:rsid w:val="00097CF3"/>
    <w:rsid w:val="000A1012"/>
    <w:rsid w:val="000A199C"/>
    <w:rsid w:val="000A4A26"/>
    <w:rsid w:val="000B0A56"/>
    <w:rsid w:val="000B417E"/>
    <w:rsid w:val="000B6836"/>
    <w:rsid w:val="000C3D16"/>
    <w:rsid w:val="000C53D8"/>
    <w:rsid w:val="000C756E"/>
    <w:rsid w:val="000D2BD2"/>
    <w:rsid w:val="000D4610"/>
    <w:rsid w:val="000E0C46"/>
    <w:rsid w:val="000E4264"/>
    <w:rsid w:val="000E6414"/>
    <w:rsid w:val="000E7E0C"/>
    <w:rsid w:val="000F0524"/>
    <w:rsid w:val="000F0D44"/>
    <w:rsid w:val="000F540B"/>
    <w:rsid w:val="0010490A"/>
    <w:rsid w:val="00104D10"/>
    <w:rsid w:val="0011251A"/>
    <w:rsid w:val="00113F49"/>
    <w:rsid w:val="00113F6F"/>
    <w:rsid w:val="001165A1"/>
    <w:rsid w:val="001207E8"/>
    <w:rsid w:val="00120D89"/>
    <w:rsid w:val="001220FD"/>
    <w:rsid w:val="00122DD9"/>
    <w:rsid w:val="001344E6"/>
    <w:rsid w:val="0013604B"/>
    <w:rsid w:val="001371C3"/>
    <w:rsid w:val="0013782D"/>
    <w:rsid w:val="00137B7E"/>
    <w:rsid w:val="00156B28"/>
    <w:rsid w:val="00161C65"/>
    <w:rsid w:val="00163C52"/>
    <w:rsid w:val="0016682C"/>
    <w:rsid w:val="001701A7"/>
    <w:rsid w:val="001743CD"/>
    <w:rsid w:val="001765D4"/>
    <w:rsid w:val="00176CBA"/>
    <w:rsid w:val="00181774"/>
    <w:rsid w:val="00181DF6"/>
    <w:rsid w:val="00185538"/>
    <w:rsid w:val="001855F3"/>
    <w:rsid w:val="00195590"/>
    <w:rsid w:val="00196D8A"/>
    <w:rsid w:val="001A4E0C"/>
    <w:rsid w:val="001A5C4E"/>
    <w:rsid w:val="001B4CF8"/>
    <w:rsid w:val="001C1E84"/>
    <w:rsid w:val="001C4891"/>
    <w:rsid w:val="001C4EF8"/>
    <w:rsid w:val="001C5E27"/>
    <w:rsid w:val="001C64CB"/>
    <w:rsid w:val="001D163E"/>
    <w:rsid w:val="001D315E"/>
    <w:rsid w:val="001D6F21"/>
    <w:rsid w:val="001E2B27"/>
    <w:rsid w:val="001E39A4"/>
    <w:rsid w:val="001E7F76"/>
    <w:rsid w:val="001F2976"/>
    <w:rsid w:val="001F4A82"/>
    <w:rsid w:val="00201C9F"/>
    <w:rsid w:val="00201FAD"/>
    <w:rsid w:val="002109F4"/>
    <w:rsid w:val="00214338"/>
    <w:rsid w:val="00221F8F"/>
    <w:rsid w:val="00222E80"/>
    <w:rsid w:val="002264BF"/>
    <w:rsid w:val="00227F64"/>
    <w:rsid w:val="0023451E"/>
    <w:rsid w:val="00234B88"/>
    <w:rsid w:val="00236144"/>
    <w:rsid w:val="00243B04"/>
    <w:rsid w:val="00254DB0"/>
    <w:rsid w:val="00255D5F"/>
    <w:rsid w:val="002647AD"/>
    <w:rsid w:val="00264ABE"/>
    <w:rsid w:val="00270684"/>
    <w:rsid w:val="00272B17"/>
    <w:rsid w:val="002746E7"/>
    <w:rsid w:val="00280CDE"/>
    <w:rsid w:val="00285541"/>
    <w:rsid w:val="002873CE"/>
    <w:rsid w:val="0029138A"/>
    <w:rsid w:val="00293E6C"/>
    <w:rsid w:val="0029409A"/>
    <w:rsid w:val="00294C28"/>
    <w:rsid w:val="002956E7"/>
    <w:rsid w:val="002A032C"/>
    <w:rsid w:val="002A5A82"/>
    <w:rsid w:val="002B0FFA"/>
    <w:rsid w:val="002B1972"/>
    <w:rsid w:val="002B1A1B"/>
    <w:rsid w:val="002B1CDF"/>
    <w:rsid w:val="002B29DD"/>
    <w:rsid w:val="002B2B12"/>
    <w:rsid w:val="002B5092"/>
    <w:rsid w:val="002B5F76"/>
    <w:rsid w:val="002D0458"/>
    <w:rsid w:val="002D1714"/>
    <w:rsid w:val="002D3676"/>
    <w:rsid w:val="002D3830"/>
    <w:rsid w:val="002D3CEF"/>
    <w:rsid w:val="002D74EA"/>
    <w:rsid w:val="002E24E1"/>
    <w:rsid w:val="002E3FA5"/>
    <w:rsid w:val="002E48BB"/>
    <w:rsid w:val="002E658D"/>
    <w:rsid w:val="002E7CA6"/>
    <w:rsid w:val="002F154D"/>
    <w:rsid w:val="002F202F"/>
    <w:rsid w:val="002F7CC8"/>
    <w:rsid w:val="003001EE"/>
    <w:rsid w:val="00305D81"/>
    <w:rsid w:val="00306005"/>
    <w:rsid w:val="00306BFB"/>
    <w:rsid w:val="0030797E"/>
    <w:rsid w:val="00317179"/>
    <w:rsid w:val="00323F12"/>
    <w:rsid w:val="00325851"/>
    <w:rsid w:val="00331554"/>
    <w:rsid w:val="00334F63"/>
    <w:rsid w:val="00335252"/>
    <w:rsid w:val="003373E0"/>
    <w:rsid w:val="0034264F"/>
    <w:rsid w:val="00347CC3"/>
    <w:rsid w:val="00350D46"/>
    <w:rsid w:val="00354F7C"/>
    <w:rsid w:val="00355C6D"/>
    <w:rsid w:val="003564C7"/>
    <w:rsid w:val="00357340"/>
    <w:rsid w:val="00357C55"/>
    <w:rsid w:val="00371C7C"/>
    <w:rsid w:val="00372808"/>
    <w:rsid w:val="00373120"/>
    <w:rsid w:val="003741EE"/>
    <w:rsid w:val="00374C44"/>
    <w:rsid w:val="0038029D"/>
    <w:rsid w:val="0038330F"/>
    <w:rsid w:val="00384360"/>
    <w:rsid w:val="00386FDE"/>
    <w:rsid w:val="00390FEF"/>
    <w:rsid w:val="00391F3C"/>
    <w:rsid w:val="003A22D6"/>
    <w:rsid w:val="003A5895"/>
    <w:rsid w:val="003A709A"/>
    <w:rsid w:val="003B0F05"/>
    <w:rsid w:val="003B10EE"/>
    <w:rsid w:val="003C04F3"/>
    <w:rsid w:val="003C2E03"/>
    <w:rsid w:val="003C3184"/>
    <w:rsid w:val="003C5B9E"/>
    <w:rsid w:val="003C6AB5"/>
    <w:rsid w:val="003D08DB"/>
    <w:rsid w:val="003D5C76"/>
    <w:rsid w:val="003E22E2"/>
    <w:rsid w:val="003E28F0"/>
    <w:rsid w:val="003E6006"/>
    <w:rsid w:val="003E6644"/>
    <w:rsid w:val="003F3A9C"/>
    <w:rsid w:val="003F7C53"/>
    <w:rsid w:val="003F7CB3"/>
    <w:rsid w:val="00401E1F"/>
    <w:rsid w:val="004049BF"/>
    <w:rsid w:val="00406220"/>
    <w:rsid w:val="004102A2"/>
    <w:rsid w:val="004107C5"/>
    <w:rsid w:val="00412452"/>
    <w:rsid w:val="00414C88"/>
    <w:rsid w:val="00421F74"/>
    <w:rsid w:val="00423305"/>
    <w:rsid w:val="00423CDD"/>
    <w:rsid w:val="004304A8"/>
    <w:rsid w:val="00430E64"/>
    <w:rsid w:val="00432044"/>
    <w:rsid w:val="0043529A"/>
    <w:rsid w:val="00435BC1"/>
    <w:rsid w:val="00436461"/>
    <w:rsid w:val="004370EC"/>
    <w:rsid w:val="00442BBD"/>
    <w:rsid w:val="004438F0"/>
    <w:rsid w:val="00451A46"/>
    <w:rsid w:val="00462514"/>
    <w:rsid w:val="00465B82"/>
    <w:rsid w:val="00465F61"/>
    <w:rsid w:val="00466104"/>
    <w:rsid w:val="00471756"/>
    <w:rsid w:val="00473404"/>
    <w:rsid w:val="004760B1"/>
    <w:rsid w:val="0047654F"/>
    <w:rsid w:val="00480530"/>
    <w:rsid w:val="0048143A"/>
    <w:rsid w:val="0048326B"/>
    <w:rsid w:val="004861DF"/>
    <w:rsid w:val="00486F02"/>
    <w:rsid w:val="004A2B83"/>
    <w:rsid w:val="004A4512"/>
    <w:rsid w:val="004A7698"/>
    <w:rsid w:val="004A77B9"/>
    <w:rsid w:val="004B161F"/>
    <w:rsid w:val="004B1831"/>
    <w:rsid w:val="004B2B3D"/>
    <w:rsid w:val="004B41AA"/>
    <w:rsid w:val="004C76AC"/>
    <w:rsid w:val="004D7FFE"/>
    <w:rsid w:val="004E06E6"/>
    <w:rsid w:val="004E0D4F"/>
    <w:rsid w:val="004E2ACE"/>
    <w:rsid w:val="004E3293"/>
    <w:rsid w:val="004E3CED"/>
    <w:rsid w:val="004E4C95"/>
    <w:rsid w:val="004E6E0E"/>
    <w:rsid w:val="004F1381"/>
    <w:rsid w:val="004F34AD"/>
    <w:rsid w:val="004F49AE"/>
    <w:rsid w:val="004F5116"/>
    <w:rsid w:val="004F6312"/>
    <w:rsid w:val="0050088C"/>
    <w:rsid w:val="00501764"/>
    <w:rsid w:val="00502418"/>
    <w:rsid w:val="0050284D"/>
    <w:rsid w:val="00503CCD"/>
    <w:rsid w:val="00505DA5"/>
    <w:rsid w:val="00510A14"/>
    <w:rsid w:val="00510D8F"/>
    <w:rsid w:val="005159F7"/>
    <w:rsid w:val="00516E01"/>
    <w:rsid w:val="005175CC"/>
    <w:rsid w:val="0052668B"/>
    <w:rsid w:val="005267A5"/>
    <w:rsid w:val="0052701E"/>
    <w:rsid w:val="00531FF4"/>
    <w:rsid w:val="00536721"/>
    <w:rsid w:val="00536DF3"/>
    <w:rsid w:val="00537DAC"/>
    <w:rsid w:val="00540F0E"/>
    <w:rsid w:val="005443E5"/>
    <w:rsid w:val="00545A2F"/>
    <w:rsid w:val="0054692D"/>
    <w:rsid w:val="00553DD6"/>
    <w:rsid w:val="0056176D"/>
    <w:rsid w:val="00562E38"/>
    <w:rsid w:val="00566814"/>
    <w:rsid w:val="0056700E"/>
    <w:rsid w:val="00571A8F"/>
    <w:rsid w:val="005730EF"/>
    <w:rsid w:val="005739A4"/>
    <w:rsid w:val="0057589A"/>
    <w:rsid w:val="00577368"/>
    <w:rsid w:val="005806D4"/>
    <w:rsid w:val="005844A9"/>
    <w:rsid w:val="00596E14"/>
    <w:rsid w:val="00597B35"/>
    <w:rsid w:val="005A425E"/>
    <w:rsid w:val="005A5385"/>
    <w:rsid w:val="005B0248"/>
    <w:rsid w:val="005C156A"/>
    <w:rsid w:val="005C20A5"/>
    <w:rsid w:val="005C20FF"/>
    <w:rsid w:val="005C2554"/>
    <w:rsid w:val="005C389D"/>
    <w:rsid w:val="005C6A2F"/>
    <w:rsid w:val="005D04A8"/>
    <w:rsid w:val="005D206E"/>
    <w:rsid w:val="005D222E"/>
    <w:rsid w:val="005D22B4"/>
    <w:rsid w:val="005D25FF"/>
    <w:rsid w:val="005D3374"/>
    <w:rsid w:val="005D3D63"/>
    <w:rsid w:val="005D4839"/>
    <w:rsid w:val="005D611C"/>
    <w:rsid w:val="005E2865"/>
    <w:rsid w:val="005E5BFB"/>
    <w:rsid w:val="005E619E"/>
    <w:rsid w:val="005F51D4"/>
    <w:rsid w:val="00601ED0"/>
    <w:rsid w:val="00602D8E"/>
    <w:rsid w:val="00607872"/>
    <w:rsid w:val="006119BB"/>
    <w:rsid w:val="0061237D"/>
    <w:rsid w:val="00614995"/>
    <w:rsid w:val="00620AF1"/>
    <w:rsid w:val="00621E4F"/>
    <w:rsid w:val="00623804"/>
    <w:rsid w:val="0062413C"/>
    <w:rsid w:val="0062445A"/>
    <w:rsid w:val="0062498A"/>
    <w:rsid w:val="00625EAB"/>
    <w:rsid w:val="0063131A"/>
    <w:rsid w:val="006314ED"/>
    <w:rsid w:val="006349E2"/>
    <w:rsid w:val="00643848"/>
    <w:rsid w:val="006442C0"/>
    <w:rsid w:val="006510F2"/>
    <w:rsid w:val="00652F13"/>
    <w:rsid w:val="00655033"/>
    <w:rsid w:val="00656242"/>
    <w:rsid w:val="00657ACB"/>
    <w:rsid w:val="006657AD"/>
    <w:rsid w:val="006718D3"/>
    <w:rsid w:val="006755A4"/>
    <w:rsid w:val="00677CC7"/>
    <w:rsid w:val="006800FA"/>
    <w:rsid w:val="0068102A"/>
    <w:rsid w:val="006832EB"/>
    <w:rsid w:val="00694D69"/>
    <w:rsid w:val="006960FD"/>
    <w:rsid w:val="006A4D7A"/>
    <w:rsid w:val="006A617F"/>
    <w:rsid w:val="006B2C26"/>
    <w:rsid w:val="006B34E1"/>
    <w:rsid w:val="006B6C9D"/>
    <w:rsid w:val="006B75AF"/>
    <w:rsid w:val="006C0A07"/>
    <w:rsid w:val="006C6AB7"/>
    <w:rsid w:val="006E2663"/>
    <w:rsid w:val="006E4AA0"/>
    <w:rsid w:val="006E4F10"/>
    <w:rsid w:val="006E7562"/>
    <w:rsid w:val="006F1803"/>
    <w:rsid w:val="006F5E5A"/>
    <w:rsid w:val="006F61E6"/>
    <w:rsid w:val="007009D4"/>
    <w:rsid w:val="007021B8"/>
    <w:rsid w:val="00703696"/>
    <w:rsid w:val="007202A6"/>
    <w:rsid w:val="007204E6"/>
    <w:rsid w:val="00721F08"/>
    <w:rsid w:val="00726440"/>
    <w:rsid w:val="00727A9F"/>
    <w:rsid w:val="00732467"/>
    <w:rsid w:val="00732F33"/>
    <w:rsid w:val="00733AD7"/>
    <w:rsid w:val="00736808"/>
    <w:rsid w:val="00737D4D"/>
    <w:rsid w:val="0074023C"/>
    <w:rsid w:val="0074198C"/>
    <w:rsid w:val="007448DB"/>
    <w:rsid w:val="0074794C"/>
    <w:rsid w:val="007512B2"/>
    <w:rsid w:val="00752D87"/>
    <w:rsid w:val="00755539"/>
    <w:rsid w:val="00762900"/>
    <w:rsid w:val="007639D3"/>
    <w:rsid w:val="00776065"/>
    <w:rsid w:val="00776F2A"/>
    <w:rsid w:val="0078708A"/>
    <w:rsid w:val="00795433"/>
    <w:rsid w:val="007B17A1"/>
    <w:rsid w:val="007B343F"/>
    <w:rsid w:val="007B55F9"/>
    <w:rsid w:val="007B78E4"/>
    <w:rsid w:val="007C66C9"/>
    <w:rsid w:val="007D4C76"/>
    <w:rsid w:val="007D5A89"/>
    <w:rsid w:val="007E2723"/>
    <w:rsid w:val="007E3B78"/>
    <w:rsid w:val="007E68B2"/>
    <w:rsid w:val="00812095"/>
    <w:rsid w:val="00823861"/>
    <w:rsid w:val="00825B98"/>
    <w:rsid w:val="00833664"/>
    <w:rsid w:val="008338ED"/>
    <w:rsid w:val="00833F89"/>
    <w:rsid w:val="0083463A"/>
    <w:rsid w:val="008347B6"/>
    <w:rsid w:val="00840360"/>
    <w:rsid w:val="008430B8"/>
    <w:rsid w:val="00843DBD"/>
    <w:rsid w:val="00860935"/>
    <w:rsid w:val="00861F48"/>
    <w:rsid w:val="00896D27"/>
    <w:rsid w:val="008976D0"/>
    <w:rsid w:val="00897A4E"/>
    <w:rsid w:val="008A5C87"/>
    <w:rsid w:val="008B20D7"/>
    <w:rsid w:val="008B5449"/>
    <w:rsid w:val="008B7E16"/>
    <w:rsid w:val="008C13EB"/>
    <w:rsid w:val="008C26B2"/>
    <w:rsid w:val="008C5B38"/>
    <w:rsid w:val="008C6253"/>
    <w:rsid w:val="008D0ACA"/>
    <w:rsid w:val="008D0F75"/>
    <w:rsid w:val="008D2A56"/>
    <w:rsid w:val="008D38F4"/>
    <w:rsid w:val="008D60D6"/>
    <w:rsid w:val="008D701E"/>
    <w:rsid w:val="008D758D"/>
    <w:rsid w:val="008D792B"/>
    <w:rsid w:val="008E1A1F"/>
    <w:rsid w:val="008E26A1"/>
    <w:rsid w:val="008E3210"/>
    <w:rsid w:val="008E4C9D"/>
    <w:rsid w:val="008F482C"/>
    <w:rsid w:val="009012AC"/>
    <w:rsid w:val="00903239"/>
    <w:rsid w:val="00903328"/>
    <w:rsid w:val="009111F4"/>
    <w:rsid w:val="009204AE"/>
    <w:rsid w:val="00923805"/>
    <w:rsid w:val="009278C8"/>
    <w:rsid w:val="0093106F"/>
    <w:rsid w:val="00936653"/>
    <w:rsid w:val="00944FCA"/>
    <w:rsid w:val="009473D7"/>
    <w:rsid w:val="00947E77"/>
    <w:rsid w:val="00950250"/>
    <w:rsid w:val="009527D2"/>
    <w:rsid w:val="00990EA2"/>
    <w:rsid w:val="00992FE0"/>
    <w:rsid w:val="00994E8B"/>
    <w:rsid w:val="009957FD"/>
    <w:rsid w:val="009965C1"/>
    <w:rsid w:val="009A0AB1"/>
    <w:rsid w:val="009A19CA"/>
    <w:rsid w:val="009A34C5"/>
    <w:rsid w:val="009A3EC8"/>
    <w:rsid w:val="009A5D9A"/>
    <w:rsid w:val="009B1857"/>
    <w:rsid w:val="009B25E1"/>
    <w:rsid w:val="009B7790"/>
    <w:rsid w:val="009C45EA"/>
    <w:rsid w:val="009C58EA"/>
    <w:rsid w:val="009C774A"/>
    <w:rsid w:val="009D5BD0"/>
    <w:rsid w:val="009D7805"/>
    <w:rsid w:val="009E0371"/>
    <w:rsid w:val="009E2494"/>
    <w:rsid w:val="009E39B0"/>
    <w:rsid w:val="009E7C37"/>
    <w:rsid w:val="00A0521B"/>
    <w:rsid w:val="00A073ED"/>
    <w:rsid w:val="00A1784B"/>
    <w:rsid w:val="00A17C7B"/>
    <w:rsid w:val="00A20BDE"/>
    <w:rsid w:val="00A20CEB"/>
    <w:rsid w:val="00A23318"/>
    <w:rsid w:val="00A24ADA"/>
    <w:rsid w:val="00A26CAB"/>
    <w:rsid w:val="00A32505"/>
    <w:rsid w:val="00A32F7B"/>
    <w:rsid w:val="00A35203"/>
    <w:rsid w:val="00A41645"/>
    <w:rsid w:val="00A4224D"/>
    <w:rsid w:val="00A43558"/>
    <w:rsid w:val="00A5126A"/>
    <w:rsid w:val="00A55D4D"/>
    <w:rsid w:val="00A64795"/>
    <w:rsid w:val="00A70853"/>
    <w:rsid w:val="00A70FE4"/>
    <w:rsid w:val="00A775FC"/>
    <w:rsid w:val="00A8327A"/>
    <w:rsid w:val="00A87162"/>
    <w:rsid w:val="00A87A07"/>
    <w:rsid w:val="00A92666"/>
    <w:rsid w:val="00A9343B"/>
    <w:rsid w:val="00A935B8"/>
    <w:rsid w:val="00A93CCB"/>
    <w:rsid w:val="00AA3B58"/>
    <w:rsid w:val="00AA3E9D"/>
    <w:rsid w:val="00AB18ED"/>
    <w:rsid w:val="00AB2466"/>
    <w:rsid w:val="00AB2A9E"/>
    <w:rsid w:val="00AB6E6A"/>
    <w:rsid w:val="00AC3071"/>
    <w:rsid w:val="00AC4FB3"/>
    <w:rsid w:val="00AD0C7D"/>
    <w:rsid w:val="00AD6687"/>
    <w:rsid w:val="00AD76A8"/>
    <w:rsid w:val="00AE187C"/>
    <w:rsid w:val="00AE20E7"/>
    <w:rsid w:val="00AE30E7"/>
    <w:rsid w:val="00AE3114"/>
    <w:rsid w:val="00AE34D4"/>
    <w:rsid w:val="00AE5C29"/>
    <w:rsid w:val="00AE6A70"/>
    <w:rsid w:val="00AF1D43"/>
    <w:rsid w:val="00AF6265"/>
    <w:rsid w:val="00B05D2E"/>
    <w:rsid w:val="00B116E6"/>
    <w:rsid w:val="00B12D1E"/>
    <w:rsid w:val="00B157FB"/>
    <w:rsid w:val="00B23EEB"/>
    <w:rsid w:val="00B24F6F"/>
    <w:rsid w:val="00B26489"/>
    <w:rsid w:val="00B37BE9"/>
    <w:rsid w:val="00B4381C"/>
    <w:rsid w:val="00B43D39"/>
    <w:rsid w:val="00B446BB"/>
    <w:rsid w:val="00B45109"/>
    <w:rsid w:val="00B45381"/>
    <w:rsid w:val="00B4750A"/>
    <w:rsid w:val="00B5161B"/>
    <w:rsid w:val="00B55D60"/>
    <w:rsid w:val="00B5640F"/>
    <w:rsid w:val="00B61E44"/>
    <w:rsid w:val="00B63E55"/>
    <w:rsid w:val="00B67368"/>
    <w:rsid w:val="00B72530"/>
    <w:rsid w:val="00B76FEA"/>
    <w:rsid w:val="00B7715B"/>
    <w:rsid w:val="00B7745B"/>
    <w:rsid w:val="00B91BC5"/>
    <w:rsid w:val="00B957B1"/>
    <w:rsid w:val="00B957C8"/>
    <w:rsid w:val="00B96B5A"/>
    <w:rsid w:val="00BB264C"/>
    <w:rsid w:val="00BB3762"/>
    <w:rsid w:val="00BB568A"/>
    <w:rsid w:val="00BC18F1"/>
    <w:rsid w:val="00BC208D"/>
    <w:rsid w:val="00BC23E3"/>
    <w:rsid w:val="00BC55D8"/>
    <w:rsid w:val="00BD13BE"/>
    <w:rsid w:val="00BD2385"/>
    <w:rsid w:val="00BD3343"/>
    <w:rsid w:val="00BD5945"/>
    <w:rsid w:val="00BD7FBA"/>
    <w:rsid w:val="00BE2A93"/>
    <w:rsid w:val="00BE364E"/>
    <w:rsid w:val="00BE5852"/>
    <w:rsid w:val="00BF0FB1"/>
    <w:rsid w:val="00BF6195"/>
    <w:rsid w:val="00C01B49"/>
    <w:rsid w:val="00C05D86"/>
    <w:rsid w:val="00C05F71"/>
    <w:rsid w:val="00C103FD"/>
    <w:rsid w:val="00C10EAB"/>
    <w:rsid w:val="00C11CBA"/>
    <w:rsid w:val="00C13CBE"/>
    <w:rsid w:val="00C144B6"/>
    <w:rsid w:val="00C1504F"/>
    <w:rsid w:val="00C2217D"/>
    <w:rsid w:val="00C231DB"/>
    <w:rsid w:val="00C235E4"/>
    <w:rsid w:val="00C316F5"/>
    <w:rsid w:val="00C433AA"/>
    <w:rsid w:val="00C44D73"/>
    <w:rsid w:val="00C47E3F"/>
    <w:rsid w:val="00C57F92"/>
    <w:rsid w:val="00C60078"/>
    <w:rsid w:val="00C60092"/>
    <w:rsid w:val="00C72940"/>
    <w:rsid w:val="00C81410"/>
    <w:rsid w:val="00C81D72"/>
    <w:rsid w:val="00C82CDE"/>
    <w:rsid w:val="00C90DED"/>
    <w:rsid w:val="00C91ABE"/>
    <w:rsid w:val="00C944DE"/>
    <w:rsid w:val="00CA6092"/>
    <w:rsid w:val="00CA64E5"/>
    <w:rsid w:val="00CA7C70"/>
    <w:rsid w:val="00CB3B02"/>
    <w:rsid w:val="00CB655C"/>
    <w:rsid w:val="00CC0E57"/>
    <w:rsid w:val="00CC2914"/>
    <w:rsid w:val="00CC421D"/>
    <w:rsid w:val="00CC49A8"/>
    <w:rsid w:val="00CC7E77"/>
    <w:rsid w:val="00CD0514"/>
    <w:rsid w:val="00CD52AB"/>
    <w:rsid w:val="00CE09DF"/>
    <w:rsid w:val="00CE5D3A"/>
    <w:rsid w:val="00CF2AE6"/>
    <w:rsid w:val="00CF3017"/>
    <w:rsid w:val="00CF57DF"/>
    <w:rsid w:val="00CF77F6"/>
    <w:rsid w:val="00D01B35"/>
    <w:rsid w:val="00D04EDA"/>
    <w:rsid w:val="00D142E7"/>
    <w:rsid w:val="00D2174F"/>
    <w:rsid w:val="00D22882"/>
    <w:rsid w:val="00D26124"/>
    <w:rsid w:val="00D300DD"/>
    <w:rsid w:val="00D3140F"/>
    <w:rsid w:val="00D41E03"/>
    <w:rsid w:val="00D430C8"/>
    <w:rsid w:val="00D45EB8"/>
    <w:rsid w:val="00D4688F"/>
    <w:rsid w:val="00D46DD0"/>
    <w:rsid w:val="00D53EB3"/>
    <w:rsid w:val="00D54CB9"/>
    <w:rsid w:val="00D562B4"/>
    <w:rsid w:val="00D576F6"/>
    <w:rsid w:val="00D60751"/>
    <w:rsid w:val="00D766E3"/>
    <w:rsid w:val="00D77EBE"/>
    <w:rsid w:val="00D81B4E"/>
    <w:rsid w:val="00D82267"/>
    <w:rsid w:val="00D85E45"/>
    <w:rsid w:val="00D9210F"/>
    <w:rsid w:val="00DA0381"/>
    <w:rsid w:val="00DA1AD7"/>
    <w:rsid w:val="00DA3978"/>
    <w:rsid w:val="00DA41F5"/>
    <w:rsid w:val="00DA54C3"/>
    <w:rsid w:val="00DA7C4A"/>
    <w:rsid w:val="00DB4D9A"/>
    <w:rsid w:val="00DC21D8"/>
    <w:rsid w:val="00DC3BE9"/>
    <w:rsid w:val="00DC72CC"/>
    <w:rsid w:val="00DD1A4B"/>
    <w:rsid w:val="00DD5B8E"/>
    <w:rsid w:val="00DD7B00"/>
    <w:rsid w:val="00DE4DC3"/>
    <w:rsid w:val="00DE59FE"/>
    <w:rsid w:val="00DF060B"/>
    <w:rsid w:val="00DF0EA6"/>
    <w:rsid w:val="00DF1FE2"/>
    <w:rsid w:val="00DF3EE2"/>
    <w:rsid w:val="00DF5309"/>
    <w:rsid w:val="00DF76C1"/>
    <w:rsid w:val="00E00BB7"/>
    <w:rsid w:val="00E00D54"/>
    <w:rsid w:val="00E03451"/>
    <w:rsid w:val="00E06E0F"/>
    <w:rsid w:val="00E12C98"/>
    <w:rsid w:val="00E13B0E"/>
    <w:rsid w:val="00E1507A"/>
    <w:rsid w:val="00E278A6"/>
    <w:rsid w:val="00E315BE"/>
    <w:rsid w:val="00E35567"/>
    <w:rsid w:val="00E35CD0"/>
    <w:rsid w:val="00E42AC2"/>
    <w:rsid w:val="00E52CBA"/>
    <w:rsid w:val="00E554FA"/>
    <w:rsid w:val="00E675E0"/>
    <w:rsid w:val="00E711BB"/>
    <w:rsid w:val="00E74B57"/>
    <w:rsid w:val="00E81079"/>
    <w:rsid w:val="00E9087C"/>
    <w:rsid w:val="00E935D3"/>
    <w:rsid w:val="00E94320"/>
    <w:rsid w:val="00E94346"/>
    <w:rsid w:val="00E97CEB"/>
    <w:rsid w:val="00EA0D31"/>
    <w:rsid w:val="00EA3D0A"/>
    <w:rsid w:val="00EA5F9B"/>
    <w:rsid w:val="00EB17E5"/>
    <w:rsid w:val="00EB1CC5"/>
    <w:rsid w:val="00EB5B0A"/>
    <w:rsid w:val="00EB71D7"/>
    <w:rsid w:val="00EC5042"/>
    <w:rsid w:val="00EC5381"/>
    <w:rsid w:val="00ED04F5"/>
    <w:rsid w:val="00ED12B1"/>
    <w:rsid w:val="00ED6968"/>
    <w:rsid w:val="00EE1099"/>
    <w:rsid w:val="00EE55E2"/>
    <w:rsid w:val="00EE7F71"/>
    <w:rsid w:val="00EF2B7D"/>
    <w:rsid w:val="00F017F5"/>
    <w:rsid w:val="00F01CAC"/>
    <w:rsid w:val="00F03CA6"/>
    <w:rsid w:val="00F03DD9"/>
    <w:rsid w:val="00F05676"/>
    <w:rsid w:val="00F1512D"/>
    <w:rsid w:val="00F17B5A"/>
    <w:rsid w:val="00F307D5"/>
    <w:rsid w:val="00F30A68"/>
    <w:rsid w:val="00F31F0D"/>
    <w:rsid w:val="00F33277"/>
    <w:rsid w:val="00F33D08"/>
    <w:rsid w:val="00F35185"/>
    <w:rsid w:val="00F50D31"/>
    <w:rsid w:val="00F510CE"/>
    <w:rsid w:val="00F51C80"/>
    <w:rsid w:val="00F56022"/>
    <w:rsid w:val="00F56598"/>
    <w:rsid w:val="00F56CB2"/>
    <w:rsid w:val="00F63C6B"/>
    <w:rsid w:val="00F64CC0"/>
    <w:rsid w:val="00F65ED4"/>
    <w:rsid w:val="00F73DD6"/>
    <w:rsid w:val="00F77084"/>
    <w:rsid w:val="00F774B0"/>
    <w:rsid w:val="00F81854"/>
    <w:rsid w:val="00F85CCE"/>
    <w:rsid w:val="00F86EF3"/>
    <w:rsid w:val="00F91D2D"/>
    <w:rsid w:val="00F93A5A"/>
    <w:rsid w:val="00F93C63"/>
    <w:rsid w:val="00F93F0F"/>
    <w:rsid w:val="00FA1205"/>
    <w:rsid w:val="00FA68D5"/>
    <w:rsid w:val="00FA797B"/>
    <w:rsid w:val="00FB1003"/>
    <w:rsid w:val="00FB1054"/>
    <w:rsid w:val="00FB390F"/>
    <w:rsid w:val="00FC0543"/>
    <w:rsid w:val="00FD30DA"/>
    <w:rsid w:val="00FD53E5"/>
    <w:rsid w:val="00FD78F6"/>
    <w:rsid w:val="00FE08FA"/>
    <w:rsid w:val="00FE699D"/>
    <w:rsid w:val="00FE74C2"/>
    <w:rsid w:val="00FF0F76"/>
    <w:rsid w:val="00FF1E1D"/>
    <w:rsid w:val="00FF6B4B"/>
    <w:rsid w:val="00FF7989"/>
    <w:rsid w:val="00FF7B46"/>
    <w:rsid w:val="023C321E"/>
    <w:rsid w:val="077B0AFF"/>
    <w:rsid w:val="07BB47F1"/>
    <w:rsid w:val="08E52DF8"/>
    <w:rsid w:val="0A5D21DB"/>
    <w:rsid w:val="0C692432"/>
    <w:rsid w:val="0CE51F31"/>
    <w:rsid w:val="0F617105"/>
    <w:rsid w:val="10067384"/>
    <w:rsid w:val="11F72AB6"/>
    <w:rsid w:val="121C2136"/>
    <w:rsid w:val="141E7B25"/>
    <w:rsid w:val="16D076F1"/>
    <w:rsid w:val="1A68746B"/>
    <w:rsid w:val="1AC6478A"/>
    <w:rsid w:val="1BF1067B"/>
    <w:rsid w:val="1BFDF43C"/>
    <w:rsid w:val="1CB6F381"/>
    <w:rsid w:val="1CBF4C9F"/>
    <w:rsid w:val="1D0C2A9C"/>
    <w:rsid w:val="1EC0622B"/>
    <w:rsid w:val="1EEF1FB7"/>
    <w:rsid w:val="1FEC1D8B"/>
    <w:rsid w:val="2007660D"/>
    <w:rsid w:val="20427D1E"/>
    <w:rsid w:val="260C2ECE"/>
    <w:rsid w:val="266C38D0"/>
    <w:rsid w:val="26B401B8"/>
    <w:rsid w:val="27123579"/>
    <w:rsid w:val="271B3099"/>
    <w:rsid w:val="27523BD8"/>
    <w:rsid w:val="282A4900"/>
    <w:rsid w:val="293C04FE"/>
    <w:rsid w:val="29F16272"/>
    <w:rsid w:val="2A3752CA"/>
    <w:rsid w:val="2FF383FA"/>
    <w:rsid w:val="30585004"/>
    <w:rsid w:val="3069190E"/>
    <w:rsid w:val="31AFFBEF"/>
    <w:rsid w:val="31C404A4"/>
    <w:rsid w:val="32815DBC"/>
    <w:rsid w:val="32EFD295"/>
    <w:rsid w:val="35FBE488"/>
    <w:rsid w:val="38082142"/>
    <w:rsid w:val="38670400"/>
    <w:rsid w:val="39E52F7A"/>
    <w:rsid w:val="3A3157B0"/>
    <w:rsid w:val="3B685725"/>
    <w:rsid w:val="3B9F2EA2"/>
    <w:rsid w:val="3E786A13"/>
    <w:rsid w:val="400C6ED0"/>
    <w:rsid w:val="40AC6069"/>
    <w:rsid w:val="410F37F8"/>
    <w:rsid w:val="41764686"/>
    <w:rsid w:val="41CA41F8"/>
    <w:rsid w:val="45B0748B"/>
    <w:rsid w:val="45F31679"/>
    <w:rsid w:val="47B83A90"/>
    <w:rsid w:val="47CF3F37"/>
    <w:rsid w:val="480A6CBB"/>
    <w:rsid w:val="48345216"/>
    <w:rsid w:val="49FE6273"/>
    <w:rsid w:val="4B7F252E"/>
    <w:rsid w:val="4C6C1ACD"/>
    <w:rsid w:val="4CF1524B"/>
    <w:rsid w:val="4E054F6B"/>
    <w:rsid w:val="4F78771F"/>
    <w:rsid w:val="4FBF5F59"/>
    <w:rsid w:val="4FF5C0AA"/>
    <w:rsid w:val="500317A1"/>
    <w:rsid w:val="53DDDDCB"/>
    <w:rsid w:val="54BE31E5"/>
    <w:rsid w:val="55FFD751"/>
    <w:rsid w:val="57FD4378"/>
    <w:rsid w:val="57FF1952"/>
    <w:rsid w:val="582D04BB"/>
    <w:rsid w:val="58E0216B"/>
    <w:rsid w:val="5A324108"/>
    <w:rsid w:val="5AFFAAC6"/>
    <w:rsid w:val="5BEF7C05"/>
    <w:rsid w:val="5CCF1623"/>
    <w:rsid w:val="5EACC19C"/>
    <w:rsid w:val="618621FE"/>
    <w:rsid w:val="631225E5"/>
    <w:rsid w:val="65134410"/>
    <w:rsid w:val="67526A7E"/>
    <w:rsid w:val="69D5DBF4"/>
    <w:rsid w:val="6AD61917"/>
    <w:rsid w:val="6B136E0C"/>
    <w:rsid w:val="6BBEE48F"/>
    <w:rsid w:val="6E6D59F5"/>
    <w:rsid w:val="6E9EB734"/>
    <w:rsid w:val="6EBA2A58"/>
    <w:rsid w:val="6F2B6AC3"/>
    <w:rsid w:val="6FEE5A2D"/>
    <w:rsid w:val="714C1DEF"/>
    <w:rsid w:val="72C84C1A"/>
    <w:rsid w:val="72DF2DE3"/>
    <w:rsid w:val="72EF624A"/>
    <w:rsid w:val="73465A3F"/>
    <w:rsid w:val="73DFBA34"/>
    <w:rsid w:val="75116DF0"/>
    <w:rsid w:val="75D64D50"/>
    <w:rsid w:val="76796F6C"/>
    <w:rsid w:val="76EFA787"/>
    <w:rsid w:val="77DB1582"/>
    <w:rsid w:val="77F058B0"/>
    <w:rsid w:val="78071E5D"/>
    <w:rsid w:val="78C5209C"/>
    <w:rsid w:val="78DD032B"/>
    <w:rsid w:val="78F51619"/>
    <w:rsid w:val="792425B9"/>
    <w:rsid w:val="79FDA7E7"/>
    <w:rsid w:val="7BFDF22A"/>
    <w:rsid w:val="7C3D3063"/>
    <w:rsid w:val="7DBEF85C"/>
    <w:rsid w:val="7DDA0647"/>
    <w:rsid w:val="7DFAEE4B"/>
    <w:rsid w:val="7EFBBC0E"/>
    <w:rsid w:val="7F027CD8"/>
    <w:rsid w:val="7F1B5ADC"/>
    <w:rsid w:val="7F7F15C0"/>
    <w:rsid w:val="7F7F840B"/>
    <w:rsid w:val="7F97612B"/>
    <w:rsid w:val="7F9FB460"/>
    <w:rsid w:val="7FAB6186"/>
    <w:rsid w:val="7FB88CE9"/>
    <w:rsid w:val="7FBB9DAE"/>
    <w:rsid w:val="7FE3DF70"/>
    <w:rsid w:val="7FE5E140"/>
    <w:rsid w:val="7FE82D11"/>
    <w:rsid w:val="7FEF4680"/>
    <w:rsid w:val="7FF777DE"/>
    <w:rsid w:val="7FF7CE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11CA47"/>
  <w15:docId w15:val="{FF9D15D1-92FD-47A6-B30C-4D498BA8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iPriority="99" w:unhideWhenUsed="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tLeast"/>
      <w:outlineLvl w:val="0"/>
    </w:pPr>
    <w:rPr>
      <w:b/>
      <w:bCs/>
      <w:kern w:val="44"/>
      <w:sz w:val="44"/>
      <w:szCs w:val="44"/>
    </w:rPr>
  </w:style>
  <w:style w:type="paragraph" w:styleId="2">
    <w:name w:val="heading 2"/>
    <w:basedOn w:val="a"/>
    <w:next w:val="a"/>
    <w:semiHidden/>
    <w:unhideWhenUsed/>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unhideWhenUsed/>
    <w:qFormat/>
    <w:pPr>
      <w:widowControl w:val="0"/>
      <w:ind w:firstLineChars="200" w:firstLine="420"/>
      <w:jc w:val="both"/>
    </w:pPr>
    <w:rPr>
      <w:kern w:val="2"/>
      <w:sz w:val="21"/>
      <w:szCs w:val="24"/>
    </w:rPr>
  </w:style>
  <w:style w:type="paragraph" w:styleId="a4">
    <w:name w:val="annotation text"/>
    <w:basedOn w:val="a"/>
    <w:link w:val="a5"/>
    <w:qFormat/>
    <w:pPr>
      <w:jc w:val="left"/>
    </w:pPr>
  </w:style>
  <w:style w:type="paragraph" w:styleId="a6">
    <w:name w:val="Body Text"/>
    <w:next w:val="a"/>
    <w:uiPriority w:val="1"/>
    <w:qFormat/>
    <w:pPr>
      <w:widowControl w:val="0"/>
      <w:spacing w:after="120"/>
      <w:jc w:val="both"/>
    </w:pPr>
    <w:rPr>
      <w:kern w:val="2"/>
      <w:sz w:val="21"/>
      <w:szCs w:val="24"/>
    </w:rPr>
  </w:style>
  <w:style w:type="paragraph" w:styleId="a7">
    <w:name w:val="Balloon Text"/>
    <w:basedOn w:val="a"/>
    <w:semiHidden/>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c">
    <w:name w:val="footnote text"/>
    <w:basedOn w:val="a"/>
    <w:uiPriority w:val="99"/>
    <w:semiHidden/>
    <w:unhideWhenUsed/>
    <w:qFormat/>
    <w:pPr>
      <w:snapToGrid w:val="0"/>
      <w:jc w:val="left"/>
    </w:pPr>
    <w:rPr>
      <w:sz w:val="18"/>
      <w:szCs w:val="18"/>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paragraph" w:styleId="ae">
    <w:name w:val="annotation subject"/>
    <w:basedOn w:val="a4"/>
    <w:next w:val="a4"/>
    <w:link w:val="af"/>
    <w:qFormat/>
    <w:rPr>
      <w:b/>
      <w:bCs/>
    </w:rPr>
  </w:style>
  <w:style w:type="table" w:styleId="af0">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1"/>
    <w:uiPriority w:val="99"/>
    <w:unhideWhenUsed/>
    <w:qFormat/>
    <w:rPr>
      <w:color w:val="0000FF"/>
      <w:u w:val="single"/>
    </w:rPr>
  </w:style>
  <w:style w:type="character" w:styleId="af2">
    <w:name w:val="annotation reference"/>
    <w:basedOn w:val="a1"/>
    <w:qFormat/>
    <w:rPr>
      <w:sz w:val="21"/>
      <w:szCs w:val="21"/>
    </w:rPr>
  </w:style>
  <w:style w:type="character" w:styleId="af3">
    <w:name w:val="footnote reference"/>
    <w:basedOn w:val="a1"/>
    <w:uiPriority w:val="99"/>
    <w:semiHidden/>
    <w:unhideWhenUsed/>
    <w:qFormat/>
    <w:rPr>
      <w:vertAlign w:val="superscript"/>
    </w:rPr>
  </w:style>
  <w:style w:type="character" w:customStyle="1" w:styleId="a5">
    <w:name w:val="批注文字 字符"/>
    <w:link w:val="a4"/>
    <w:qFormat/>
    <w:rPr>
      <w:kern w:val="2"/>
      <w:sz w:val="21"/>
      <w:szCs w:val="24"/>
    </w:rPr>
  </w:style>
  <w:style w:type="character" w:customStyle="1" w:styleId="af">
    <w:name w:val="批注主题 字符"/>
    <w:link w:val="ae"/>
    <w:qFormat/>
    <w:rPr>
      <w:b/>
      <w:bCs/>
      <w:kern w:val="2"/>
      <w:sz w:val="21"/>
      <w:szCs w:val="24"/>
    </w:rPr>
  </w:style>
  <w:style w:type="paragraph" w:customStyle="1" w:styleId="10">
    <w:name w:val="列出段落1"/>
    <w:basedOn w:val="a"/>
    <w:uiPriority w:val="34"/>
    <w:qFormat/>
    <w:pPr>
      <w:ind w:firstLineChars="200" w:firstLine="420"/>
    </w:pPr>
    <w:rPr>
      <w:rFonts w:ascii="Calibri" w:hAnsi="Calibri" w:cs="黑体"/>
      <w:szCs w:val="22"/>
    </w:rPr>
  </w:style>
  <w:style w:type="character" w:customStyle="1" w:styleId="ab">
    <w:name w:val="页眉 字符"/>
    <w:basedOn w:val="a1"/>
    <w:link w:val="aa"/>
    <w:uiPriority w:val="99"/>
    <w:qFormat/>
    <w:rPr>
      <w:kern w:val="2"/>
      <w:sz w:val="18"/>
      <w:szCs w:val="18"/>
    </w:rPr>
  </w:style>
  <w:style w:type="character" w:customStyle="1" w:styleId="a9">
    <w:name w:val="页脚 字符"/>
    <w:basedOn w:val="a1"/>
    <w:link w:val="a8"/>
    <w:uiPriority w:val="99"/>
    <w:qFormat/>
    <w:rPr>
      <w:kern w:val="2"/>
      <w:sz w:val="18"/>
      <w:szCs w:val="18"/>
    </w:rPr>
  </w:style>
  <w:style w:type="paragraph" w:customStyle="1" w:styleId="11">
    <w:name w:val="修订1"/>
    <w:hidden/>
    <w:uiPriority w:val="99"/>
    <w:semiHidden/>
    <w:qFormat/>
    <w:rPr>
      <w:kern w:val="2"/>
      <w:sz w:val="21"/>
      <w:szCs w:val="24"/>
    </w:rPr>
  </w:style>
  <w:style w:type="character" w:customStyle="1" w:styleId="Char">
    <w:name w:val="页眉 Char"/>
    <w:qFormat/>
    <w:rPr>
      <w:kern w:val="2"/>
      <w:sz w:val="18"/>
      <w:szCs w:val="18"/>
    </w:rPr>
  </w:style>
  <w:style w:type="table" w:customStyle="1" w:styleId="TableGrid">
    <w:name w:val="TableGrid"/>
    <w:qFormat/>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paragraph" w:styleId="af4">
    <w:name w:val="List Paragraph"/>
    <w:basedOn w:val="a"/>
    <w:uiPriority w:val="34"/>
    <w:qFormat/>
    <w:pPr>
      <w:ind w:firstLineChars="200" w:firstLine="420"/>
    </w:pPr>
  </w:style>
  <w:style w:type="paragraph" w:customStyle="1" w:styleId="af5">
    <w:name w:val="段"/>
    <w:link w:val="Char0"/>
    <w:qFormat/>
    <w:pPr>
      <w:tabs>
        <w:tab w:val="center" w:pos="4201"/>
        <w:tab w:val="right" w:leader="dot" w:pos="9298"/>
      </w:tabs>
      <w:autoSpaceDE w:val="0"/>
      <w:autoSpaceDN w:val="0"/>
      <w:ind w:firstLineChars="200" w:firstLine="420"/>
      <w:jc w:val="both"/>
    </w:pPr>
    <w:rPr>
      <w:rFonts w:ascii="宋体"/>
      <w:sz w:val="21"/>
    </w:rPr>
  </w:style>
  <w:style w:type="paragraph" w:customStyle="1" w:styleId="af6">
    <w:name w:val="章标题"/>
    <w:next w:val="af5"/>
    <w:qFormat/>
    <w:pPr>
      <w:spacing w:beforeLines="100" w:afterLines="100"/>
      <w:jc w:val="both"/>
      <w:outlineLvl w:val="1"/>
    </w:pPr>
    <w:rPr>
      <w:rFonts w:ascii="黑体" w:eastAsia="黑体" w:cs="黑体"/>
      <w:sz w:val="21"/>
      <w:szCs w:val="21"/>
    </w:rPr>
  </w:style>
  <w:style w:type="paragraph" w:customStyle="1" w:styleId="20">
    <w:name w:val="修订2"/>
    <w:hidden/>
    <w:uiPriority w:val="99"/>
    <w:semiHidden/>
    <w:qFormat/>
    <w:rPr>
      <w:kern w:val="2"/>
      <w:sz w:val="21"/>
      <w:szCs w:val="24"/>
    </w:rPr>
  </w:style>
  <w:style w:type="paragraph" w:customStyle="1" w:styleId="3">
    <w:name w:val="修订3"/>
    <w:hidden/>
    <w:uiPriority w:val="99"/>
    <w:semiHidden/>
    <w:qFormat/>
    <w:rPr>
      <w:kern w:val="2"/>
      <w:sz w:val="21"/>
      <w:szCs w:val="24"/>
    </w:rPr>
  </w:style>
  <w:style w:type="paragraph" w:customStyle="1" w:styleId="4">
    <w:name w:val="修订4"/>
    <w:hidden/>
    <w:uiPriority w:val="99"/>
    <w:semiHidden/>
    <w:qFormat/>
    <w:rPr>
      <w:kern w:val="2"/>
      <w:sz w:val="21"/>
      <w:szCs w:val="24"/>
    </w:rPr>
  </w:style>
  <w:style w:type="character" w:customStyle="1" w:styleId="Char0">
    <w:name w:val="段 Char"/>
    <w:link w:val="af5"/>
    <w:qFormat/>
    <w:rPr>
      <w:rFonts w:ascii="宋体"/>
      <w:sz w:val="21"/>
    </w:rPr>
  </w:style>
  <w:style w:type="paragraph" w:customStyle="1" w:styleId="5">
    <w:name w:val="修订5"/>
    <w:hidden/>
    <w:uiPriority w:val="99"/>
    <w:semiHidden/>
    <w:qFormat/>
    <w:rPr>
      <w:kern w:val="2"/>
      <w:sz w:val="21"/>
      <w:szCs w:val="24"/>
    </w:rPr>
  </w:style>
  <w:style w:type="paragraph" w:customStyle="1" w:styleId="6">
    <w:name w:val="修订6"/>
    <w:hidden/>
    <w:uiPriority w:val="99"/>
    <w:semiHidden/>
    <w:qFormat/>
    <w:rPr>
      <w:kern w:val="2"/>
      <w:sz w:val="21"/>
      <w:szCs w:val="24"/>
    </w:rPr>
  </w:style>
  <w:style w:type="paragraph" w:customStyle="1" w:styleId="7">
    <w:name w:val="修订7"/>
    <w:hidden/>
    <w:uiPriority w:val="99"/>
    <w:semiHidden/>
    <w:qFormat/>
    <w:rPr>
      <w:kern w:val="2"/>
      <w:sz w:val="21"/>
      <w:szCs w:val="24"/>
    </w:rPr>
  </w:style>
  <w:style w:type="paragraph" w:customStyle="1" w:styleId="8">
    <w:name w:val="修订8"/>
    <w:hidden/>
    <w:uiPriority w:val="99"/>
    <w:semiHidden/>
    <w:qFormat/>
    <w:rPr>
      <w:kern w:val="2"/>
      <w:sz w:val="21"/>
      <w:szCs w:val="24"/>
    </w:rPr>
  </w:style>
  <w:style w:type="character" w:styleId="af7">
    <w:name w:val="Placeholder Text"/>
    <w:basedOn w:val="a1"/>
    <w:uiPriority w:val="99"/>
    <w:semiHidden/>
    <w:qFormat/>
    <w:rPr>
      <w:color w:val="808080"/>
    </w:rPr>
  </w:style>
  <w:style w:type="paragraph" w:customStyle="1" w:styleId="9">
    <w:name w:val="修订9"/>
    <w:hidden/>
    <w:uiPriority w:val="99"/>
    <w:semiHidden/>
    <w:qFormat/>
    <w:rPr>
      <w:kern w:val="2"/>
      <w:sz w:val="21"/>
      <w:szCs w:val="24"/>
    </w:rPr>
  </w:style>
  <w:style w:type="paragraph" w:styleId="af8">
    <w:name w:val="Revision"/>
    <w:hidden/>
    <w:uiPriority w:val="99"/>
    <w:semiHidden/>
    <w:rsid w:val="00DF3EE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88A55F5-7615-4C78-92AF-A2996BBA41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10</Pages>
  <Words>695</Words>
  <Characters>3964</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王松</cp:lastModifiedBy>
  <cp:revision>34</cp:revision>
  <cp:lastPrinted>2023-11-22T07:33:00Z</cp:lastPrinted>
  <dcterms:created xsi:type="dcterms:W3CDTF">2023-02-08T01:48:00Z</dcterms:created>
  <dcterms:modified xsi:type="dcterms:W3CDTF">2023-11-22T08:21:00Z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DA04D38393B14C23B0556C750D5D609F</vt:lpwstr>
  </property>
</Properties>
</file>